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4819"/>
        <w:gridCol w:w="4819"/>
      </w:tblGrid>
      <w:tr>
        <w:tc>
          <w:tcPr>
            <w:tcW w:type="dxa" w:w="1928"/>
          </w:tcPr>
          <w:p>
            <w:r>
              <w:drawing>
                <wp:inline xmlns:a="http://schemas.openxmlformats.org/drawingml/2006/main" xmlns:pic="http://schemas.openxmlformats.org/drawingml/2006/picture">
                  <wp:extent cx="1080000" cy="1080000"/>
                  <wp:docPr id="1" name="Picture 1"/>
                  <wp:cNvGraphicFramePr>
                    <a:graphicFrameLocks noChangeAspect="1"/>
                  </wp:cNvGraphicFramePr>
                  <a:graphic>
                    <a:graphicData uri="http://schemas.openxmlformats.org/drawingml/2006/picture">
                      <pic:pic>
                        <pic:nvPicPr>
                          <pic:cNvPr id="0" name="portrait.jpg"/>
                          <pic:cNvPicPr/>
                        </pic:nvPicPr>
                        <pic:blipFill>
                          <a:blip r:embed="rId9"/>
                          <a:stretch>
                            <a:fillRect/>
                          </a:stretch>
                        </pic:blipFill>
                        <pic:spPr>
                          <a:xfrm>
                            <a:off x="0" y="0"/>
                            <a:ext cx="1080000" cy="1080000"/>
                          </a:xfrm>
                          <a:prstGeom prst="rect"/>
                        </pic:spPr>
                      </pic:pic>
                    </a:graphicData>
                  </a:graphic>
                </wp:inline>
              </w:drawing>
            </w:r>
          </w:p>
        </w:tc>
        <w:tc>
          <w:tcPr>
            <w:tcW w:type="dxa" w:w="7710"/>
          </w:tcPr>
          <w:p>
            <w:r>
              <w:rPr>
                <w:rFonts w:ascii="Calibri" w:hAnsi="Calibri"/>
                <w:b/>
                <w:i w:val="0"/>
                <w:color w:val="15181D"/>
                <w:sz w:val="44"/>
              </w:rPr>
              <w:t>Joakim Platbarzdis</w:t>
            </w:r>
          </w:p>
          <w:p>
            <w:r>
              <w:rPr>
                <w:rFonts w:ascii="Calibri" w:hAnsi="Calibri"/>
                <w:b w:val="0"/>
                <w:i w:val="0"/>
                <w:color w:val="5F656E"/>
                <w:sz w:val="23"/>
              </w:rPr>
              <w:t>Programledare och teknisk projektledare, interim CTO, produktledare.</w:t>
            </w:r>
          </w:p>
          <w:p>
            <w:r>
              <w:rPr>
                <w:rFonts w:ascii="Calibri" w:hAnsi="Calibri"/>
                <w:b w:val="0"/>
                <w:i w:val="0"/>
                <w:color w:val="5F656E"/>
                <w:sz w:val="19"/>
              </w:rPr>
              <w:t>Stockholm · hello@mettle.se · mettle.se · linkedin.com/in/joakimpl</w:t>
            </w:r>
          </w:p>
          <w:p>
            <w:r>
              <w:rPr>
                <w:rFonts w:ascii="Calibri" w:hAnsi="Calibri"/>
                <w:b/>
                <w:i w:val="0"/>
                <w:color w:val="0E5A4C"/>
                <w:sz w:val="19"/>
              </w:rPr>
              <w:t>Ledig för uppdrag från och med måndag 2 november 2026, på heltid eller deltid.</w:t>
            </w:r>
          </w:p>
        </w:tc>
      </w:tr>
    </w:tbl>
    <w:p>
      <w:pPr>
        <w:pBdr>
          <w:bottom w:val="single" w:sz="4" w:space="1" w:color="D9D2C5"/>
        </w:pBdr>
        <w:spacing w:after="40"/>
      </w:pPr>
    </w:p>
    <w:p>
      <w:pPr>
        <w:spacing w:before="80" w:after="80"/>
      </w:pPr>
      <w:r>
        <w:rPr>
          <w:rFonts w:ascii="Calibri" w:hAnsi="Calibri"/>
          <w:b/>
          <w:i w:val="0"/>
          <w:color w:val="0E5A4C"/>
          <w:sz w:val="26"/>
        </w:rPr>
        <w:t>Profil</w:t>
      </w:r>
    </w:p>
    <w:p>
      <w:r>
        <w:rPr>
          <w:rFonts w:ascii="Calibri" w:hAnsi="Calibri"/>
          <w:b w:val="0"/>
          <w:i w:val="0"/>
          <w:color w:val="15181D"/>
          <w:sz w:val="21"/>
        </w:rPr>
        <w:t>Jag leder IT-program där leverantörer, system och regelverk möts, och jag bygger och driver mjukvara själv. På Episerver var jag senior produktchef för AI-produkter. Sedan 2020 har jag lett förändringsarbete i finanssektorn som CTO, teknikchef och programledare. Vid sidan av det har jag sedan 2008 byggt och drivit plattformen bakom TermoSenses webbfunktioner, för temperaturövervakning i butiker och forskningslabb och uppvärmning av bussar i depå.</w:t>
      </w:r>
    </w:p>
    <w:p>
      <w:r>
        <w:rPr>
          <w:rFonts w:ascii="Calibri" w:hAnsi="Calibri"/>
          <w:b w:val="0"/>
          <w:i w:val="0"/>
          <w:color w:val="15181D"/>
          <w:sz w:val="21"/>
        </w:rPr>
        <w:t>När någon kommer till mig med ett problem utgår jag från deras kunskap och erfarenhet, lägger till min egen, och vi hittar den bästa lösningen tillsammans. När någon kommer med en bättre idé tar jag den till mig direkt. Att träna barn lärde mig tre saker som jag fortfarande leder efter: alla behöver bli sedda, ett budskap har ungefär tio sekunder på sig att gå fram, och människor växer bäst med halva tiden på det de redan gör bra och halva på något nytt. Jag sätter mig snabbt och djupt in i en organisation och kartlägger hur saker faktiskt fungerar, så att jag kan stötta där den kunskapen har gått förlorad. Jag matchar varje team med vad det behöver och vad det orkar bära, och kliver in i glappen mellan avdelningar så att leveransen håller. När något behöver uppmärksamhet underbygger jag det med data, samlar in den själv när den saknas, och presenterar den i en form som passar dem som ska agera.</w:t>
      </w:r>
    </w:p>
    <w:p>
      <w:r>
        <w:rPr>
          <w:rFonts w:ascii="Calibri" w:hAnsi="Calibri"/>
          <w:b w:val="0"/>
          <w:i w:val="0"/>
          <w:color w:val="15181D"/>
          <w:sz w:val="21"/>
        </w:rPr>
        <w:t>I en ny roll börjar jag med människorna: vilka som finns där, vad vi gör och varför, så att jag ser var jag kan hjälpa till. Jag ser regelefterlevnad som tillståndet att verka. Reglering och tillsyn skyddar förtroendet för det finansiella systemet, och det förtroendet tjänar alla. Jag arbetar i de verktyg organisationen redan använder, Jira, Azure DevOps, Microsoft Project eller Power BI, och väljer det som gör samarbetet enklast. När jag har en annan syn på ett beslut lyfter jag det som en risk och ser till att ägaren förstår konsekvenserna och godkänner den. Sedan ser jag till att lämpliga åtgärder och uppföljningar kommer på plats.</w:t>
      </w:r>
    </w:p>
    <w:p>
      <w:pPr>
        <w:pBdr>
          <w:bottom w:val="single" w:sz="4" w:space="1" w:color="D9D2C5"/>
        </w:pBdr>
        <w:spacing w:after="40"/>
      </w:pPr>
    </w:p>
    <w:p>
      <w:pPr>
        <w:spacing w:before="80" w:after="80"/>
      </w:pPr>
      <w:r>
        <w:rPr>
          <w:rFonts w:ascii="Calibri" w:hAnsi="Calibri"/>
          <w:b/>
          <w:i w:val="0"/>
          <w:color w:val="0E5A4C"/>
          <w:sz w:val="26"/>
        </w:rPr>
        <w:t>Kompetensområden</w:t>
      </w:r>
    </w:p>
    <w:p>
      <w:pPr>
        <w:pStyle w:val="ListBullet"/>
      </w:pPr>
      <w:r>
        <w:rPr>
          <w:rFonts w:ascii="Calibri" w:hAnsi="Calibri"/>
          <w:b/>
          <w:i w:val="0"/>
          <w:color w:val="15181D"/>
          <w:sz w:val="21"/>
        </w:rPr>
        <w:t xml:space="preserve">Teknisk projektledning – </w:t>
      </w:r>
      <w:r>
        <w:rPr>
          <w:rFonts w:ascii="Calibri" w:hAnsi="Calibri"/>
          <w:b w:val="0"/>
          <w:i w:val="0"/>
          <w:color w:val="15181D"/>
          <w:sz w:val="21"/>
        </w:rPr>
        <w:t>IT-projekt med många leverantörer, snäva tidsplaner och regelkrav.</w:t>
      </w:r>
    </w:p>
    <w:p>
      <w:pPr>
        <w:pStyle w:val="ListBullet"/>
      </w:pPr>
      <w:r>
        <w:rPr>
          <w:rFonts w:ascii="Calibri" w:hAnsi="Calibri"/>
          <w:b/>
          <w:i w:val="0"/>
          <w:color w:val="15181D"/>
          <w:sz w:val="21"/>
        </w:rPr>
        <w:t xml:space="preserve">DORA och IKT-risk – </w:t>
      </w:r>
      <w:r>
        <w:rPr>
          <w:rFonts w:ascii="Calibri" w:hAnsi="Calibri"/>
          <w:b w:val="0"/>
          <w:i w:val="0"/>
          <w:color w:val="15181D"/>
          <w:sz w:val="21"/>
        </w:rPr>
        <w:t>Arbete utifrån lagtexten och dess tekniska standarder, i finansiella företag, med Mindstreet.</w:t>
      </w:r>
    </w:p>
    <w:p>
      <w:pPr>
        <w:pStyle w:val="ListBullet"/>
      </w:pPr>
      <w:r>
        <w:rPr>
          <w:rFonts w:ascii="Calibri" w:hAnsi="Calibri"/>
          <w:b/>
          <w:i w:val="0"/>
          <w:color w:val="15181D"/>
          <w:sz w:val="21"/>
        </w:rPr>
        <w:t xml:space="preserve">Interim CTO eller teknikchef – </w:t>
      </w:r>
      <w:r>
        <w:rPr>
          <w:rFonts w:ascii="Calibri" w:hAnsi="Calibri"/>
          <w:b w:val="0"/>
          <w:i w:val="0"/>
          <w:color w:val="15181D"/>
          <w:sz w:val="21"/>
        </w:rPr>
        <w:t>När utvecklingsorganisationen behöver en ledare eller en ny struktur.</w:t>
      </w:r>
    </w:p>
    <w:p>
      <w:pPr>
        <w:pStyle w:val="ListBullet"/>
      </w:pPr>
      <w:r>
        <w:rPr>
          <w:rFonts w:ascii="Calibri" w:hAnsi="Calibri"/>
          <w:b/>
          <w:i w:val="0"/>
          <w:color w:val="15181D"/>
          <w:sz w:val="21"/>
        </w:rPr>
        <w:t xml:space="preserve">Moln och plattform – </w:t>
      </w:r>
      <w:r>
        <w:rPr>
          <w:rFonts w:ascii="Calibri" w:hAnsi="Calibri"/>
          <w:b w:val="0"/>
          <w:i w:val="0"/>
          <w:color w:val="15181D"/>
          <w:sz w:val="21"/>
        </w:rPr>
        <w:t>Flytta system medan det som är beroende av dem fortsätter att fungera.</w:t>
      </w:r>
    </w:p>
    <w:p>
      <w:pPr>
        <w:pStyle w:val="ListBullet"/>
      </w:pPr>
      <w:r>
        <w:rPr>
          <w:rFonts w:ascii="Calibri" w:hAnsi="Calibri"/>
          <w:b/>
          <w:i w:val="0"/>
          <w:color w:val="15181D"/>
          <w:sz w:val="21"/>
        </w:rPr>
        <w:t xml:space="preserve">Produktledning – </w:t>
      </w:r>
      <w:r>
        <w:rPr>
          <w:rFonts w:ascii="Calibri" w:hAnsi="Calibri"/>
          <w:b w:val="0"/>
          <w:i w:val="0"/>
          <w:color w:val="15181D"/>
          <w:sz w:val="21"/>
        </w:rPr>
        <w:t>En produktorganisation som fattar beslut utifrån fakta.</w:t>
      </w:r>
    </w:p>
    <w:p>
      <w:pPr>
        <w:pStyle w:val="ListBullet"/>
      </w:pPr>
      <w:r>
        <w:rPr>
          <w:rFonts w:ascii="Calibri" w:hAnsi="Calibri"/>
          <w:b/>
          <w:i w:val="0"/>
          <w:color w:val="15181D"/>
          <w:sz w:val="21"/>
        </w:rPr>
        <w:t xml:space="preserve">IoT: uppkopplade enheter och övervakning – </w:t>
      </w:r>
      <w:r>
        <w:rPr>
          <w:rFonts w:ascii="Calibri" w:hAnsi="Calibri"/>
          <w:b w:val="0"/>
          <w:i w:val="0"/>
          <w:color w:val="15181D"/>
          <w:sz w:val="21"/>
        </w:rPr>
        <w:t>Sensorer och utrustning ute i fält, och plattformen bakom dem, i drift i många år.</w:t>
      </w:r>
    </w:p>
    <w:p>
      <w:pPr>
        <w:pStyle w:val="ListBullet"/>
      </w:pPr>
      <w:r>
        <w:rPr>
          <w:rFonts w:ascii="Calibri" w:hAnsi="Calibri"/>
          <w:b/>
          <w:i w:val="0"/>
          <w:color w:val="15181D"/>
          <w:sz w:val="21"/>
        </w:rPr>
        <w:t xml:space="preserve">Dokument och arkiv – </w:t>
      </w:r>
      <w:r>
        <w:rPr>
          <w:rFonts w:ascii="Calibri" w:hAnsi="Calibri"/>
          <w:b w:val="0"/>
          <w:i w:val="0"/>
          <w:color w:val="15181D"/>
          <w:sz w:val="21"/>
        </w:rPr>
        <w:t>Vad som ska sparas, hur länge och var.</w:t>
      </w:r>
    </w:p>
    <w:p>
      <w:pPr>
        <w:pStyle w:val="ListBullet"/>
      </w:pPr>
      <w:r>
        <w:rPr>
          <w:rFonts w:ascii="Calibri" w:hAnsi="Calibri"/>
          <w:b/>
          <w:i w:val="0"/>
          <w:color w:val="15181D"/>
          <w:sz w:val="21"/>
        </w:rPr>
        <w:t xml:space="preserve">Tillämpad AI i leveranser – </w:t>
      </w:r>
      <w:r>
        <w:rPr>
          <w:rFonts w:ascii="Calibri" w:hAnsi="Calibri"/>
          <w:b w:val="0"/>
          <w:i w:val="0"/>
          <w:color w:val="15181D"/>
          <w:sz w:val="21"/>
        </w:rPr>
        <w:t>AI i arbetet, så långt din organisation tillåter.</w:t>
      </w:r>
    </w:p>
    <w:p>
      <w:pPr>
        <w:pBdr>
          <w:bottom w:val="single" w:sz="4" w:space="1" w:color="D9D2C5"/>
        </w:pBdr>
        <w:spacing w:after="40"/>
      </w:pPr>
    </w:p>
    <w:p>
      <w:pPr>
        <w:spacing w:before="80" w:after="80"/>
      </w:pPr>
      <w:r>
        <w:rPr>
          <w:rFonts w:ascii="Calibri" w:hAnsi="Calibri"/>
          <w:b/>
          <w:i w:val="0"/>
          <w:color w:val="0E5A4C"/>
          <w:sz w:val="26"/>
        </w:rPr>
        <w:t>Yrkeserfarenhet</w:t>
      </w:r>
    </w:p>
    <w:p>
      <w:pPr>
        <w:keepNext/>
        <w:spacing w:before="140" w:after="0"/>
      </w:pPr>
      <w:r>
        <w:rPr>
          <w:rFonts w:ascii="Calibri" w:hAnsi="Calibri"/>
          <w:b w:val="0"/>
          <w:i w:val="0"/>
          <w:color w:val="5F656E"/>
          <w:sz w:val="20"/>
        </w:rPr>
        <w:t xml:space="preserve">maj – okt. 2026  ·  </w:t>
      </w:r>
      <w:r>
        <w:rPr>
          <w:rFonts w:ascii="Calibri" w:hAnsi="Calibri"/>
          <w:b/>
          <w:i w:val="0"/>
          <w:color w:val="15181D"/>
          <w:sz w:val="21"/>
        </w:rPr>
        <w:t>IKT-projektledare</w:t>
      </w:r>
    </w:p>
    <w:p>
      <w:pPr>
        <w:keepNext/>
        <w:spacing w:after="0"/>
      </w:pPr>
      <w:r>
        <w:rPr>
          <w:rFonts w:ascii="Calibri" w:hAnsi="Calibri"/>
          <w:b/>
          <w:i w:val="0"/>
          <w:color w:val="0E5A4C"/>
          <w:sz w:val="20"/>
        </w:rPr>
        <w:t>Ett svenskt finansiellt företag (en del av Mindstreet)</w:t>
      </w:r>
    </w:p>
    <w:p>
      <w:r>
        <w:rPr>
          <w:rFonts w:ascii="Calibri" w:hAnsi="Calibri"/>
          <w:b w:val="0"/>
          <w:i w:val="0"/>
          <w:color w:val="15181D"/>
          <w:sz w:val="20"/>
        </w:rPr>
        <w:t>Program för DORA-anpassning och tillstånd: funktionsregister, spårbarhet från skyldighet via styrande dokument till arbetsuppgift, konsekvensanalys (BIA) och beslutsforum. AI-stöd med mänsklig granskning.</w:t>
      </w:r>
    </w:p>
    <w:p>
      <w:pPr>
        <w:keepNext/>
        <w:spacing w:before="140" w:after="0"/>
      </w:pPr>
      <w:r>
        <w:rPr>
          <w:rFonts w:ascii="Calibri" w:hAnsi="Calibri"/>
          <w:b w:val="0"/>
          <w:i w:val="0"/>
          <w:color w:val="5F656E"/>
          <w:sz w:val="20"/>
        </w:rPr>
        <w:t xml:space="preserve">nov. 2022 – juni 2026  ·  </w:t>
      </w:r>
      <w:r>
        <w:rPr>
          <w:rFonts w:ascii="Calibri" w:hAnsi="Calibri"/>
          <w:b/>
          <w:i w:val="0"/>
          <w:color w:val="15181D"/>
          <w:sz w:val="21"/>
        </w:rPr>
        <w:t>Teknisk projektledare</w:t>
      </w:r>
    </w:p>
    <w:p>
      <w:pPr>
        <w:keepNext/>
        <w:spacing w:after="0"/>
      </w:pPr>
      <w:r>
        <w:rPr>
          <w:rFonts w:ascii="Calibri" w:hAnsi="Calibri"/>
          <w:b/>
          <w:i w:val="0"/>
          <w:color w:val="0E5A4C"/>
          <w:sz w:val="20"/>
        </w:rPr>
        <w:t>BNP Paribas Personal Finance Nordic (en del av Mindstreet)</w:t>
      </w:r>
    </w:p>
    <w:p>
      <w:r>
        <w:rPr>
          <w:rFonts w:ascii="Calibri" w:hAnsi="Calibri"/>
          <w:b w:val="0"/>
          <w:i w:val="0"/>
          <w:color w:val="15181D"/>
          <w:sz w:val="20"/>
        </w:rPr>
        <w:t>Flytt av en reglerad inlåningstjänst på en konsumentbank. Upphandling och leverantörsval för e-arkiv samt digitalisering av dokument. Teststrategi, utbildning av användare i verksamheten och rapportering i Power BI.</w:t>
      </w:r>
    </w:p>
    <w:p>
      <w:pPr>
        <w:keepNext/>
        <w:spacing w:before="140" w:after="0"/>
      </w:pPr>
      <w:r>
        <w:rPr>
          <w:rFonts w:ascii="Calibri" w:hAnsi="Calibri"/>
          <w:b w:val="0"/>
          <w:i w:val="0"/>
          <w:color w:val="5F656E"/>
          <w:sz w:val="20"/>
        </w:rPr>
        <w:t xml:space="preserve">2022–  ·  </w:t>
      </w:r>
      <w:r>
        <w:rPr>
          <w:rFonts w:ascii="Calibri" w:hAnsi="Calibri"/>
          <w:b/>
          <w:i w:val="0"/>
          <w:color w:val="15181D"/>
          <w:sz w:val="21"/>
        </w:rPr>
        <w:t>Konsult; associerad konsult sedan december 2025</w:t>
      </w:r>
    </w:p>
    <w:p>
      <w:pPr>
        <w:keepNext w:val="0"/>
        <w:spacing w:after="0"/>
      </w:pPr>
      <w:r>
        <w:rPr>
          <w:rFonts w:ascii="Calibri" w:hAnsi="Calibri"/>
          <w:b/>
          <w:i w:val="0"/>
          <w:color w:val="0E5A4C"/>
          <w:sz w:val="20"/>
        </w:rPr>
        <w:t>Mindstreet, Stockholm</w:t>
      </w:r>
    </w:p>
    <w:p>
      <w:pPr>
        <w:keepNext/>
        <w:spacing w:before="140" w:after="0"/>
      </w:pPr>
      <w:r>
        <w:rPr>
          <w:rFonts w:ascii="Calibri" w:hAnsi="Calibri"/>
          <w:b w:val="0"/>
          <w:i w:val="0"/>
          <w:color w:val="5F656E"/>
          <w:sz w:val="20"/>
        </w:rPr>
        <w:t xml:space="preserve">2021–2022  ·  </w:t>
      </w:r>
      <w:r>
        <w:rPr>
          <w:rFonts w:ascii="Calibri" w:hAnsi="Calibri"/>
          <w:b/>
          <w:i w:val="0"/>
          <w:color w:val="15181D"/>
          <w:sz w:val="21"/>
        </w:rPr>
        <w:t>Teknik- och produktchef</w:t>
      </w:r>
    </w:p>
    <w:p>
      <w:pPr>
        <w:keepNext/>
        <w:spacing w:after="0"/>
      </w:pPr>
      <w:r>
        <w:rPr>
          <w:rFonts w:ascii="Calibri" w:hAnsi="Calibri"/>
          <w:b/>
          <w:i w:val="0"/>
          <w:color w:val="0E5A4C"/>
          <w:sz w:val="20"/>
        </w:rPr>
        <w:t>Bricknode</w:t>
      </w:r>
    </w:p>
    <w:p>
      <w:pPr>
        <w:pStyle w:val="ListBullet"/>
        <w:spacing w:after="0"/>
      </w:pPr>
      <w:r>
        <w:rPr>
          <w:rFonts w:ascii="Calibri" w:hAnsi="Calibri"/>
          <w:b w:val="0"/>
          <w:i w:val="0"/>
          <w:color w:val="15181D"/>
          <w:sz w:val="20"/>
        </w:rPr>
        <w:t>Satte den tekniska strategin för nästa generations SaaS-plattform på Google Cloud.</w:t>
      </w:r>
    </w:p>
    <w:p>
      <w:pPr>
        <w:pStyle w:val="ListBullet"/>
        <w:spacing w:after="0"/>
      </w:pPr>
      <w:r>
        <w:rPr>
          <w:rFonts w:ascii="Calibri" w:hAnsi="Calibri"/>
          <w:b w:val="0"/>
          <w:i w:val="0"/>
          <w:color w:val="15181D"/>
          <w:sz w:val="20"/>
        </w:rPr>
        <w:t>Höll .NET-applikationerna och Azure-miljön i drift under tiden.</w:t>
      </w:r>
    </w:p>
    <w:p>
      <w:pPr>
        <w:pStyle w:val="ListBullet"/>
        <w:spacing w:after="0"/>
      </w:pPr>
      <w:r>
        <w:rPr>
          <w:rFonts w:ascii="Calibri" w:hAnsi="Calibri"/>
          <w:b w:val="0"/>
          <w:i w:val="0"/>
          <w:color w:val="15181D"/>
          <w:sz w:val="20"/>
        </w:rPr>
        <w:t>Flyttade organisationen från separata utvecklings- och SRE-team till DevSecOps: en backlogg, gemensamma möten, inga silor.</w:t>
      </w:r>
    </w:p>
    <w:p>
      <w:pPr>
        <w:pStyle w:val="ListBullet"/>
        <w:spacing w:after="0"/>
      </w:pPr>
      <w:r>
        <w:rPr>
          <w:rFonts w:ascii="Calibri" w:hAnsi="Calibri"/>
          <w:b w:val="0"/>
          <w:i w:val="0"/>
          <w:color w:val="15181D"/>
          <w:sz w:val="20"/>
        </w:rPr>
        <w:t>Ledde en avdelning på 17 personer: utvecklare, drift, testare och en produktledare, i flera parallella team.</w:t>
      </w:r>
    </w:p>
    <w:p>
      <w:pPr>
        <w:pStyle w:val="ListBullet"/>
        <w:spacing w:after="0"/>
      </w:pPr>
      <w:r>
        <w:rPr>
          <w:rFonts w:ascii="Calibri" w:hAnsi="Calibri"/>
          <w:b w:val="0"/>
          <w:i w:val="0"/>
          <w:color w:val="15181D"/>
          <w:sz w:val="20"/>
        </w:rPr>
        <w:t>Införde releasehantering för hela bolaget genom att formalisera rollen för den som redan ledde test och releaser, med godkännande före varje release.</w:t>
      </w:r>
    </w:p>
    <w:p>
      <w:pPr>
        <w:pStyle w:val="ListBullet"/>
        <w:spacing w:after="0"/>
      </w:pPr>
      <w:r>
        <w:rPr>
          <w:rFonts w:ascii="Calibri" w:hAnsi="Calibri"/>
          <w:b w:val="0"/>
          <w:i w:val="0"/>
          <w:color w:val="15181D"/>
          <w:sz w:val="20"/>
        </w:rPr>
        <w:t>Byggde epic-flöden i Jira: överlämning till test före release, till marknad före stängning.</w:t>
      </w:r>
    </w:p>
    <w:p>
      <w:pPr>
        <w:pStyle w:val="ListBullet"/>
        <w:spacing w:after="0"/>
      </w:pPr>
      <w:r>
        <w:rPr>
          <w:rFonts w:ascii="Calibri" w:hAnsi="Calibri"/>
          <w:b w:val="0"/>
          <w:i w:val="0"/>
          <w:color w:val="15181D"/>
          <w:sz w:val="20"/>
        </w:rPr>
        <w:t>Drev produktledning enligt Pragmatic-ramverket.</w:t>
      </w:r>
    </w:p>
    <w:p>
      <w:pPr>
        <w:pStyle w:val="ListBullet"/>
        <w:spacing w:after="0"/>
      </w:pPr>
      <w:r>
        <w:rPr>
          <w:rFonts w:ascii="Calibri" w:hAnsi="Calibri"/>
          <w:b w:val="0"/>
          <w:i w:val="0"/>
          <w:color w:val="15181D"/>
          <w:sz w:val="20"/>
        </w:rPr>
        <w:t>Bidrog till arbetet med ISO 27001.</w:t>
      </w:r>
    </w:p>
    <w:p>
      <w:pPr>
        <w:keepNext/>
        <w:spacing w:before="140" w:after="0"/>
      </w:pPr>
      <w:r>
        <w:rPr>
          <w:rFonts w:ascii="Calibri" w:hAnsi="Calibri"/>
          <w:b w:val="0"/>
          <w:i w:val="0"/>
          <w:color w:val="5F656E"/>
          <w:sz w:val="20"/>
        </w:rPr>
        <w:t xml:space="preserve">2020–2021  ·  </w:t>
      </w:r>
      <w:r>
        <w:rPr>
          <w:rFonts w:ascii="Calibri" w:hAnsi="Calibri"/>
          <w:b/>
          <w:i w:val="0"/>
          <w:color w:val="15181D"/>
          <w:sz w:val="21"/>
        </w:rPr>
        <w:t>CTO; från november 2020 även koncern-CTO för Xsave AB (Nord Fondkommission och Ymer Partners)</w:t>
      </w:r>
    </w:p>
    <w:p>
      <w:pPr>
        <w:keepNext/>
        <w:spacing w:after="0"/>
      </w:pPr>
      <w:r>
        <w:rPr>
          <w:rFonts w:ascii="Calibri" w:hAnsi="Calibri"/>
          <w:b/>
          <w:i w:val="0"/>
          <w:color w:val="0E5A4C"/>
          <w:sz w:val="20"/>
        </w:rPr>
        <w:t>Nord Fondkommission</w:t>
      </w:r>
    </w:p>
    <w:p>
      <w:pPr>
        <w:pStyle w:val="ListBullet"/>
        <w:spacing w:after="0"/>
      </w:pPr>
      <w:r>
        <w:rPr>
          <w:rFonts w:ascii="Calibri" w:hAnsi="Calibri"/>
          <w:b w:val="0"/>
          <w:i w:val="0"/>
          <w:color w:val="15181D"/>
          <w:sz w:val="20"/>
        </w:rPr>
        <w:t>Rekryterade och ledde ett lokalt team på fem personer som arbetade enligt DevSecOps (tre utvecklare, en UX-designer och en dataingenjör), och befordrade en utvecklare till att leda leveranspartnerna offshore.</w:t>
      </w:r>
    </w:p>
    <w:p>
      <w:pPr>
        <w:pStyle w:val="ListBullet"/>
        <w:spacing w:after="0"/>
      </w:pPr>
      <w:r>
        <w:rPr>
          <w:rFonts w:ascii="Calibri" w:hAnsi="Calibri"/>
          <w:b w:val="0"/>
          <w:i w:val="0"/>
          <w:color w:val="15181D"/>
          <w:sz w:val="20"/>
        </w:rPr>
        <w:t>Byggde koncern-IT för båda bolagen på ett gemensamt kontor: nätverk, säkerhetssystem, kameror.</w:t>
      </w:r>
    </w:p>
    <w:p>
      <w:pPr>
        <w:pStyle w:val="ListBullet"/>
        <w:spacing w:after="0"/>
      </w:pPr>
      <w:r>
        <w:rPr>
          <w:rFonts w:ascii="Calibri" w:hAnsi="Calibri"/>
          <w:b w:val="0"/>
          <w:i w:val="0"/>
          <w:color w:val="15181D"/>
          <w:sz w:val="20"/>
        </w:rPr>
        <w:t>Gav varje bolag en egen Office 365-tenant, med SSO och Atlassian-integrationer.</w:t>
      </w:r>
    </w:p>
    <w:p>
      <w:pPr>
        <w:pStyle w:val="ListBullet"/>
        <w:spacing w:after="0"/>
      </w:pPr>
      <w:r>
        <w:rPr>
          <w:rFonts w:ascii="Calibri" w:hAnsi="Calibri"/>
          <w:b w:val="0"/>
          <w:i w:val="0"/>
          <w:color w:val="15181D"/>
          <w:sz w:val="20"/>
        </w:rPr>
        <w:t>Teamet levererade ett flöde för produktgodkännande och ombalansering av kundportföljer.</w:t>
      </w:r>
    </w:p>
    <w:p>
      <w:pPr>
        <w:pStyle w:val="ListBullet"/>
        <w:spacing w:after="0"/>
      </w:pPr>
      <w:r>
        <w:rPr>
          <w:rFonts w:ascii="Calibri" w:hAnsi="Calibri"/>
          <w:b w:val="0"/>
          <w:i w:val="0"/>
          <w:color w:val="15181D"/>
          <w:sz w:val="20"/>
        </w:rPr>
        <w:t>Införde godkännanden från UX, compliance och verksamheten, loggade i Jiras inbyggda arbetsflöden.</w:t>
      </w:r>
    </w:p>
    <w:p>
      <w:pPr>
        <w:pStyle w:val="ListBullet"/>
        <w:spacing w:after="0"/>
      </w:pPr>
      <w:r>
        <w:rPr>
          <w:rFonts w:ascii="Calibri" w:hAnsi="Calibri"/>
          <w:b w:val="0"/>
          <w:i w:val="0"/>
          <w:color w:val="15181D"/>
          <w:sz w:val="20"/>
        </w:rPr>
        <w:t>Inrättade produktledning samt policyer för MiFID II, GDPR och ISO 27001.</w:t>
      </w:r>
    </w:p>
    <w:p>
      <w:pPr>
        <w:pStyle w:val="ListBullet"/>
        <w:spacing w:after="0"/>
      </w:pPr>
      <w:r>
        <w:rPr>
          <w:rFonts w:ascii="Calibri" w:hAnsi="Calibri"/>
          <w:b w:val="0"/>
          <w:i w:val="0"/>
          <w:color w:val="15181D"/>
          <w:sz w:val="20"/>
        </w:rPr>
        <w:t>Drev en hybridmiljö med egna servrar, AWS och Google Cloud.</w:t>
      </w:r>
    </w:p>
    <w:p>
      <w:pPr>
        <w:pStyle w:val="ListBullet"/>
        <w:spacing w:after="0"/>
      </w:pPr>
      <w:r>
        <w:rPr>
          <w:rFonts w:ascii="Calibri" w:hAnsi="Calibri"/>
          <w:b w:val="0"/>
          <w:i w:val="0"/>
          <w:color w:val="15181D"/>
          <w:sz w:val="20"/>
        </w:rPr>
        <w:t>Flyttade marknads- och portföljdata till AWS; daglig transaktionsrapportering låg kvar på egna servrar.</w:t>
      </w:r>
    </w:p>
    <w:p>
      <w:pPr>
        <w:keepNext/>
        <w:spacing w:before="140" w:after="0"/>
      </w:pPr>
      <w:r>
        <w:rPr>
          <w:rFonts w:ascii="Calibri" w:hAnsi="Calibri"/>
          <w:b w:val="0"/>
          <w:i w:val="0"/>
          <w:color w:val="5F656E"/>
          <w:sz w:val="20"/>
        </w:rPr>
        <w:t xml:space="preserve">2008–2020  ·  </w:t>
      </w:r>
      <w:r>
        <w:rPr>
          <w:rFonts w:ascii="Calibri" w:hAnsi="Calibri"/>
          <w:b/>
          <w:i w:val="0"/>
          <w:color w:val="15181D"/>
          <w:sz w:val="21"/>
        </w:rPr>
        <w:t>Ledande utvecklare, produktägare, produktchef, senior produktchef</w:t>
      </w:r>
    </w:p>
    <w:p>
      <w:pPr>
        <w:keepNext/>
        <w:spacing w:after="0"/>
      </w:pPr>
      <w:r>
        <w:rPr>
          <w:rFonts w:ascii="Calibri" w:hAnsi="Calibri"/>
          <w:b/>
          <w:i w:val="0"/>
          <w:color w:val="0E5A4C"/>
          <w:sz w:val="20"/>
        </w:rPr>
        <w:t>Episerver (i dag Optimizely)</w:t>
      </w:r>
    </w:p>
    <w:p>
      <w:r>
        <w:rPr>
          <w:rFonts w:ascii="Calibri" w:hAnsi="Calibri"/>
          <w:b w:val="0"/>
          <w:i w:val="0"/>
          <w:color w:val="15181D"/>
          <w:sz w:val="20"/>
        </w:rPr>
        <w:t>Utvald till President’s Club 2018. Produktansvar för molntjänster inom AI-personalisering, webbplatssök och prediktiv analys: hela livscykeln, prissättning och lansering. Dessförinnan ledande frontendutvecklare, produktägare för personalisering och sök samt fullstackutvecklare.</w:t>
      </w:r>
    </w:p>
    <w:p>
      <w:pPr>
        <w:keepNext/>
        <w:spacing w:before="140" w:after="0"/>
      </w:pPr>
      <w:r>
        <w:rPr>
          <w:rFonts w:ascii="Calibri" w:hAnsi="Calibri"/>
          <w:b w:val="0"/>
          <w:i w:val="0"/>
          <w:color w:val="5F656E"/>
          <w:sz w:val="20"/>
        </w:rPr>
        <w:t xml:space="preserve">2000–  ·  </w:t>
      </w:r>
      <w:r>
        <w:rPr>
          <w:rFonts w:ascii="Calibri" w:hAnsi="Calibri"/>
          <w:b/>
          <w:i w:val="0"/>
          <w:color w:val="15181D"/>
          <w:sz w:val="21"/>
        </w:rPr>
        <w:t>Grundare</w:t>
      </w:r>
    </w:p>
    <w:p>
      <w:pPr>
        <w:keepNext/>
        <w:spacing w:after="0"/>
      </w:pPr>
      <w:r>
        <w:rPr>
          <w:rFonts w:ascii="Calibri" w:hAnsi="Calibri"/>
          <w:b/>
          <w:i w:val="0"/>
          <w:color w:val="0E5A4C"/>
          <w:sz w:val="20"/>
        </w:rPr>
        <w:t>Mettle AB (fram till 2020 enskild firma under namnet Mettle IT &amp; Media Solutions)</w:t>
      </w:r>
    </w:p>
    <w:p>
      <w:pPr>
        <w:pStyle w:val="ListBullet"/>
        <w:spacing w:after="0"/>
      </w:pPr>
      <w:r>
        <w:rPr>
          <w:rFonts w:ascii="Calibri" w:hAnsi="Calibri"/>
          <w:b w:val="0"/>
          <w:i w:val="0"/>
          <w:color w:val="15181D"/>
          <w:sz w:val="20"/>
        </w:rPr>
        <w:t>Har byggt och drivit TermoSense-plattformen åt SensiNet sedan 2008, levererad som OEM: webbplattformen, mjukvaran i gatewayerna och larmvägen via sms; över 700 miljoner rapporter hittills och över 90 enheter i fält fram till 2022.</w:t>
      </w:r>
    </w:p>
    <w:p>
      <w:pPr>
        <w:pStyle w:val="ListBullet"/>
        <w:spacing w:after="0"/>
      </w:pPr>
      <w:r>
        <w:rPr>
          <w:rFonts w:ascii="Calibri" w:hAnsi="Calibri"/>
          <w:b w:val="0"/>
          <w:i w:val="0"/>
          <w:color w:val="15181D"/>
          <w:sz w:val="20"/>
        </w:rPr>
        <w:t>Produktägare för den, från färdplanen till ändringsloggen som kunderna läser i appen på svenska och engelska.</w:t>
      </w:r>
    </w:p>
    <w:p>
      <w:pPr>
        <w:pStyle w:val="ListBullet"/>
        <w:spacing w:after="0"/>
      </w:pPr>
      <w:r>
        <w:rPr>
          <w:rFonts w:ascii="Calibri" w:hAnsi="Calibri"/>
          <w:b w:val="0"/>
          <w:i w:val="0"/>
          <w:color w:val="15181D"/>
          <w:sz w:val="20"/>
        </w:rPr>
        <w:t>Moderniserade plattformen 2026: PHP 8.4 på en ny server, gateway 2.0 som rapporterar via ett autentiserat REST-API, en ombyggd sms-gateway och larm som går när något tystnar.</w:t>
      </w:r>
    </w:p>
    <w:p>
      <w:pPr>
        <w:pStyle w:val="ListBullet"/>
        <w:spacing w:after="0"/>
      </w:pPr>
      <w:r>
        <w:rPr>
          <w:rFonts w:ascii="Calibri" w:hAnsi="Calibri"/>
          <w:b w:val="0"/>
          <w:i w:val="0"/>
          <w:color w:val="15181D"/>
          <w:sz w:val="20"/>
        </w:rPr>
        <w:t>Bygger med en AI-kodagent och granskar det den skriver. En AI-agent utreder varje kundtjänstärende och skriver utkast till svar, och jag godkänner varje svar innan det når en kund.</w:t>
      </w:r>
    </w:p>
    <w:p>
      <w:pPr>
        <w:pStyle w:val="ListBullet"/>
        <w:spacing w:after="0"/>
      </w:pPr>
      <w:r>
        <w:rPr>
          <w:rFonts w:ascii="Calibri" w:hAnsi="Calibri"/>
          <w:b w:val="0"/>
          <w:i w:val="0"/>
          <w:color w:val="15181D"/>
          <w:sz w:val="20"/>
        </w:rPr>
        <w:t>Datainsamling och visualisering för livsmedel, drivmedel och transport. MetLex sedan 2026.</w:t>
      </w:r>
    </w:p>
    <w:p>
      <w:pPr>
        <w:keepNext/>
        <w:spacing w:before="140" w:after="0"/>
      </w:pPr>
      <w:r>
        <w:rPr>
          <w:rFonts w:ascii="Calibri" w:hAnsi="Calibri"/>
          <w:b w:val="0"/>
          <w:i w:val="0"/>
          <w:color w:val="5F656E"/>
          <w:sz w:val="20"/>
        </w:rPr>
        <w:t xml:space="preserve">2007–2008  ·  </w:t>
      </w:r>
      <w:r>
        <w:rPr>
          <w:rFonts w:ascii="Calibri" w:hAnsi="Calibri"/>
          <w:b/>
          <w:i w:val="0"/>
          <w:color w:val="15181D"/>
          <w:sz w:val="21"/>
        </w:rPr>
        <w:t>Systemutvecklare</w:t>
      </w:r>
    </w:p>
    <w:p>
      <w:pPr>
        <w:keepNext/>
        <w:spacing w:after="0"/>
      </w:pPr>
      <w:r>
        <w:rPr>
          <w:rFonts w:ascii="Calibri" w:hAnsi="Calibri"/>
          <w:b/>
          <w:i w:val="0"/>
          <w:color w:val="0E5A4C"/>
          <w:sz w:val="20"/>
        </w:rPr>
        <w:t>Netstar</w:t>
      </w:r>
    </w:p>
    <w:p>
      <w:r>
        <w:rPr>
          <w:rFonts w:ascii="Calibri" w:hAnsi="Calibri"/>
          <w:b w:val="0"/>
          <w:i w:val="0"/>
          <w:color w:val="15181D"/>
          <w:sz w:val="20"/>
        </w:rPr>
        <w:t>StarMail, en tjänst för massutskick av e-post; ett jourtelefonisystem byggt på Asterisk.</w:t>
      </w:r>
    </w:p>
    <w:p>
      <w:pPr>
        <w:keepNext/>
        <w:spacing w:before="140" w:after="0"/>
      </w:pPr>
      <w:r>
        <w:rPr>
          <w:rFonts w:ascii="Calibri" w:hAnsi="Calibri"/>
          <w:b w:val="0"/>
          <w:i w:val="0"/>
          <w:color w:val="5F656E"/>
          <w:sz w:val="20"/>
        </w:rPr>
        <w:t xml:space="preserve">2006–2007  ·  </w:t>
      </w:r>
      <w:r>
        <w:rPr>
          <w:rFonts w:ascii="Calibri" w:hAnsi="Calibri"/>
          <w:b/>
          <w:i w:val="0"/>
          <w:color w:val="15181D"/>
          <w:sz w:val="21"/>
        </w:rPr>
        <w:t>IT-chef</w:t>
      </w:r>
    </w:p>
    <w:p>
      <w:pPr>
        <w:keepNext w:val="0"/>
        <w:spacing w:after="0"/>
      </w:pPr>
      <w:r>
        <w:rPr>
          <w:rFonts w:ascii="Calibri" w:hAnsi="Calibri"/>
          <w:b/>
          <w:i w:val="0"/>
          <w:color w:val="0E5A4C"/>
          <w:sz w:val="20"/>
        </w:rPr>
        <w:t>Noble Entertainment</w:t>
      </w:r>
    </w:p>
    <w:p>
      <w:pPr>
        <w:keepNext/>
        <w:spacing w:before="140" w:after="0"/>
      </w:pPr>
      <w:r>
        <w:rPr>
          <w:rFonts w:ascii="Calibri" w:hAnsi="Calibri"/>
          <w:b w:val="0"/>
          <w:i w:val="0"/>
          <w:color w:val="5F656E"/>
          <w:sz w:val="20"/>
        </w:rPr>
        <w:t xml:space="preserve">2003–2004  ·  </w:t>
      </w:r>
      <w:r>
        <w:rPr>
          <w:rFonts w:ascii="Calibri" w:hAnsi="Calibri"/>
          <w:b/>
          <w:i w:val="0"/>
          <w:color w:val="15181D"/>
          <w:sz w:val="21"/>
        </w:rPr>
        <w:t>Systemintegratör</w:t>
      </w:r>
    </w:p>
    <w:p>
      <w:pPr>
        <w:keepNext/>
        <w:spacing w:after="0"/>
      </w:pPr>
      <w:r>
        <w:rPr>
          <w:rFonts w:ascii="Calibri" w:hAnsi="Calibri"/>
          <w:b/>
          <w:i w:val="0"/>
          <w:color w:val="0E5A4C"/>
          <w:sz w:val="20"/>
        </w:rPr>
        <w:t>CIT Sweden</w:t>
      </w:r>
    </w:p>
    <w:p>
      <w:r>
        <w:rPr>
          <w:rFonts w:ascii="Calibri" w:hAnsi="Calibri"/>
          <w:b w:val="0"/>
          <w:i w:val="0"/>
          <w:color w:val="15181D"/>
          <w:sz w:val="20"/>
        </w:rPr>
        <w:t>Integration av fastighetsautomation som konsult; slutförde det arbete jag påbörjat på Johnson Controls.</w:t>
      </w:r>
    </w:p>
    <w:p>
      <w:pPr>
        <w:keepNext/>
        <w:spacing w:before="140" w:after="0"/>
      </w:pPr>
      <w:r>
        <w:rPr>
          <w:rFonts w:ascii="Calibri" w:hAnsi="Calibri"/>
          <w:b w:val="0"/>
          <w:i w:val="0"/>
          <w:color w:val="5F656E"/>
          <w:sz w:val="20"/>
        </w:rPr>
        <w:t xml:space="preserve">2001–2003  ·  </w:t>
      </w:r>
      <w:r>
        <w:rPr>
          <w:rFonts w:ascii="Calibri" w:hAnsi="Calibri"/>
          <w:b/>
          <w:i w:val="0"/>
          <w:color w:val="15181D"/>
          <w:sz w:val="21"/>
        </w:rPr>
        <w:t>IT-chef och systemintegratör</w:t>
      </w:r>
    </w:p>
    <w:p>
      <w:pPr>
        <w:keepNext/>
        <w:spacing w:after="0"/>
      </w:pPr>
      <w:r>
        <w:rPr>
          <w:rFonts w:ascii="Calibri" w:hAnsi="Calibri"/>
          <w:b/>
          <w:i w:val="0"/>
          <w:color w:val="0E5A4C"/>
          <w:sz w:val="20"/>
        </w:rPr>
        <w:t>Johnson Controls Norden</w:t>
      </w:r>
    </w:p>
    <w:p>
      <w:r>
        <w:rPr>
          <w:rFonts w:ascii="Calibri" w:hAnsi="Calibri"/>
          <w:b w:val="0"/>
          <w:i w:val="0"/>
          <w:color w:val="15181D"/>
          <w:sz w:val="20"/>
        </w:rPr>
        <w:t>Kravställning för OPC-integration i Kista Science Tower (NCC): fastighetsautomation, hissar från Kone och belysning från Schneider Electric samlade i en gemensam vy för visualisering och larm; citerad i en kundberättelse från ICONICS.</w:t>
      </w:r>
    </w:p>
    <w:p>
      <w:pPr>
        <w:pBdr>
          <w:bottom w:val="single" w:sz="4" w:space="1" w:color="D9D2C5"/>
        </w:pBdr>
        <w:spacing w:after="40"/>
      </w:pPr>
    </w:p>
    <w:p>
      <w:pPr>
        <w:spacing w:before="80" w:after="80"/>
      </w:pPr>
      <w:r>
        <w:rPr>
          <w:rFonts w:ascii="Calibri" w:hAnsi="Calibri"/>
          <w:b/>
          <w:i w:val="0"/>
          <w:color w:val="0E5A4C"/>
          <w:sz w:val="26"/>
        </w:rPr>
        <w:t>Utbildning och certifieringar</w:t>
      </w:r>
    </w:p>
    <w:p>
      <w:r>
        <w:rPr>
          <w:rFonts w:ascii="Calibri" w:hAnsi="Calibri"/>
          <w:b w:val="0"/>
          <w:i w:val="0"/>
          <w:color w:val="5F656E"/>
          <w:sz w:val="20"/>
        </w:rPr>
        <w:t xml:space="preserve">2017  ·  </w:t>
      </w:r>
      <w:r>
        <w:rPr>
          <w:rFonts w:ascii="Calibri" w:hAnsi="Calibri"/>
          <w:b/>
          <w:i w:val="0"/>
          <w:color w:val="15181D"/>
          <w:sz w:val="21"/>
        </w:rPr>
        <w:t>PMC-III (Foundations, Focus, Build)</w:t>
      </w:r>
      <w:r>
        <w:rPr>
          <w:rFonts w:ascii="Calibri" w:hAnsi="Calibri"/>
          <w:b w:val="0"/>
          <w:i w:val="0"/>
          <w:color w:val="15181D"/>
          <w:sz w:val="21"/>
        </w:rPr>
        <w:t xml:space="preserve"> – Pragmatic Institute</w:t>
      </w:r>
    </w:p>
    <w:p>
      <w:r>
        <w:rPr>
          <w:rFonts w:ascii="Calibri" w:hAnsi="Calibri"/>
          <w:b w:val="0"/>
          <w:i w:val="0"/>
          <w:color w:val="5F656E"/>
          <w:sz w:val="20"/>
        </w:rPr>
        <w:t xml:space="preserve">2013  ·  </w:t>
      </w:r>
      <w:r>
        <w:rPr>
          <w:rFonts w:ascii="Calibri" w:hAnsi="Calibri"/>
          <w:b/>
          <w:i w:val="0"/>
          <w:color w:val="15181D"/>
          <w:sz w:val="21"/>
        </w:rPr>
        <w:t>Human-Computer Interaction (onlinekurs via Coursera)</w:t>
      </w:r>
      <w:r>
        <w:rPr>
          <w:rFonts w:ascii="Calibri" w:hAnsi="Calibri"/>
          <w:b w:val="0"/>
          <w:i w:val="0"/>
          <w:color w:val="15181D"/>
          <w:sz w:val="21"/>
        </w:rPr>
        <w:t xml:space="preserve"> – UC San Diego</w:t>
      </w:r>
    </w:p>
    <w:p>
      <w:r>
        <w:rPr>
          <w:rFonts w:ascii="Calibri" w:hAnsi="Calibri"/>
          <w:b w:val="0"/>
          <w:i w:val="0"/>
          <w:color w:val="5F656E"/>
          <w:sz w:val="20"/>
        </w:rPr>
        <w:t xml:space="preserve">2001  ·  </w:t>
      </w:r>
      <w:r>
        <w:rPr>
          <w:rFonts w:ascii="Calibri" w:hAnsi="Calibri"/>
          <w:b/>
          <w:i w:val="0"/>
          <w:color w:val="15181D"/>
          <w:sz w:val="21"/>
        </w:rPr>
        <w:t>Kvalificerad yrkesutbildning (KY) med inriktning på virtual reality</w:t>
      </w:r>
      <w:r>
        <w:rPr>
          <w:rFonts w:ascii="Calibri" w:hAnsi="Calibri"/>
          <w:b w:val="0"/>
          <w:i w:val="0"/>
          <w:color w:val="15181D"/>
          <w:sz w:val="21"/>
        </w:rPr>
        <w:t xml:space="preserve"> – Nackademin, Stockholm</w:t>
      </w:r>
    </w:p>
    <w:p>
      <w:pPr>
        <w:pBdr>
          <w:bottom w:val="single" w:sz="4" w:space="1" w:color="D9D2C5"/>
        </w:pBdr>
        <w:spacing w:after="40"/>
      </w:pPr>
    </w:p>
    <w:p>
      <w:pPr>
        <w:spacing w:before="80" w:after="80"/>
      </w:pPr>
      <w:r>
        <w:rPr>
          <w:rFonts w:ascii="Calibri" w:hAnsi="Calibri"/>
          <w:b/>
          <w:i w:val="0"/>
          <w:color w:val="0E5A4C"/>
          <w:sz w:val="26"/>
        </w:rPr>
        <w:t>Verktyg och metoder</w:t>
      </w:r>
    </w:p>
    <w:p>
      <w:r>
        <w:rPr>
          <w:rFonts w:ascii="Calibri" w:hAnsi="Calibri"/>
          <w:b w:val="0"/>
          <w:i w:val="0"/>
          <w:color w:val="15181D"/>
          <w:sz w:val="21"/>
        </w:rPr>
        <w:t>Jira och Confluence, Azure DevOps, Microsoft Project, Kanban och Scrum, Power BI, Office 365, Google Cloud, AWS, Azure, Kubernetes, GitOps, infrastruktur som kod, PHP, C#, Java, JavaScript, Python, Perl, SQL och MariaDB.</w:t>
      </w:r>
    </w:p>
    <w:p>
      <w:pPr>
        <w:pBdr>
          <w:bottom w:val="single" w:sz="4" w:space="1" w:color="D9D2C5"/>
        </w:pBdr>
        <w:spacing w:after="40"/>
      </w:pPr>
    </w:p>
    <w:p>
      <w:pPr>
        <w:spacing w:before="80" w:after="80"/>
      </w:pPr>
      <w:r>
        <w:rPr>
          <w:rFonts w:ascii="Calibri" w:hAnsi="Calibri"/>
          <w:b/>
          <w:i w:val="0"/>
          <w:color w:val="0E5A4C"/>
          <w:sz w:val="26"/>
        </w:rPr>
        <w:t>Branscher</w:t>
      </w:r>
    </w:p>
    <w:p>
      <w:r>
        <w:rPr>
          <w:rFonts w:ascii="Calibri" w:hAnsi="Calibri"/>
          <w:b w:val="0"/>
          <w:i w:val="0"/>
          <w:color w:val="15181D"/>
          <w:sz w:val="21"/>
        </w:rPr>
        <w:t>Bank och konsumentkredit, värdepappershandel, temperaturövervakning (livsmedelshandel, kollektivtrafik, forskning), fastighetsautomation, mjukvaruprodukter.</w:t>
      </w:r>
    </w:p>
    <w:p>
      <w:pPr>
        <w:pBdr>
          <w:bottom w:val="single" w:sz="4" w:space="1" w:color="D9D2C5"/>
        </w:pBdr>
        <w:spacing w:after="40"/>
      </w:pPr>
    </w:p>
    <w:p>
      <w:pPr>
        <w:spacing w:before="80" w:after="80"/>
      </w:pPr>
      <w:r>
        <w:rPr>
          <w:rFonts w:ascii="Calibri" w:hAnsi="Calibri"/>
          <w:b/>
          <w:i w:val="0"/>
          <w:color w:val="0E5A4C"/>
          <w:sz w:val="26"/>
        </w:rPr>
        <w:t>Språk</w:t>
      </w:r>
    </w:p>
    <w:p>
      <w:r>
        <w:rPr>
          <w:rFonts w:ascii="Calibri" w:hAnsi="Calibri"/>
          <w:b w:val="0"/>
          <w:i w:val="0"/>
          <w:color w:val="15181D"/>
          <w:sz w:val="21"/>
        </w:rPr>
        <w:t>Svenska (modersmål), engelska (flytande).</w:t>
      </w:r>
    </w:p>
    <w:p>
      <w:pPr>
        <w:pBdr>
          <w:bottom w:val="single" w:sz="4" w:space="1" w:color="D9D2C5"/>
        </w:pBdr>
        <w:spacing w:after="40"/>
      </w:pPr>
    </w:p>
    <w:p>
      <w:pPr>
        <w:spacing w:before="80" w:after="80"/>
      </w:pPr>
      <w:r>
        <w:rPr>
          <w:rFonts w:ascii="Calibri" w:hAnsi="Calibri"/>
          <w:b/>
          <w:i w:val="0"/>
          <w:color w:val="0E5A4C"/>
          <w:sz w:val="26"/>
        </w:rPr>
        <w:t>Övrigt</w:t>
      </w:r>
    </w:p>
    <w:p>
      <w:pPr>
        <w:pStyle w:val="ListBullet"/>
      </w:pPr>
      <w:r>
        <w:rPr>
          <w:rFonts w:ascii="Calibri" w:hAnsi="Calibri"/>
          <w:b w:val="0"/>
          <w:i w:val="0"/>
          <w:color w:val="15181D"/>
          <w:sz w:val="21"/>
        </w:rPr>
        <w:t>Gitarrist i Soen; skrev tillsammans med de andra, spelade in och producerade albumen Cognitive (2012) och Tellurian (2014), fram till överlämningen för mixning och mastring.</w:t>
      </w:r>
    </w:p>
    <w:p>
      <w:pPr>
        <w:pStyle w:val="ListBullet"/>
      </w:pPr>
      <w:r>
        <w:rPr>
          <w:rFonts w:ascii="Calibri" w:hAnsi="Calibri"/>
          <w:b w:val="0"/>
          <w:i w:val="0"/>
          <w:color w:val="15181D"/>
          <w:sz w:val="21"/>
        </w:rPr>
        <w:t>Fotbollstränare i Solberga BK, 2015–2017, med ledarutbildningar inom barn- och ungdomsidrott. Att träna barn lärde mig tre saker som jag fortfarande leder efter: alla behöver bli sedda, ett budskap har ungefär tio sekunder på sig att gå fram, och människor växer bäst med halva tiden på det de redan gör bra och halva på något nytt.</w:t>
      </w:r>
    </w:p>
    <w:sectPr w:rsidR="00FC693F" w:rsidRPr="0006063C" w:rsidSect="00034616">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F656E"/>
        <w:sz w:val="16"/>
      </w:rPr>
      <w:t>Mettle AB · org.nr 559249‑4842 · Stockholm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lang w:val="sv-SE" w:eastAsia="sv-SE" w:bidi="sv-S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lang w:val="sv-SE" w:eastAsia="sv-SE" w:bidi="sv-SE"/>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lang w:val="sv-SE" w:eastAsia="sv-SE" w:bidi="sv-S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sv-SE" w:eastAsia="sv-SE" w:bidi="sv-S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sv-SE" w:eastAsia="sv-SE" w:bidi="sv-SE"/>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sv-SE" w:eastAsia="sv-SE" w:bidi="sv-SE"/>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sv-SE" w:eastAsia="sv-SE" w:bidi="sv-SE"/>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sv-SE" w:eastAsia="sv-SE" w:bidi="sv-SE"/>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sv-SE" w:eastAsia="sv-SE" w:bidi="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sv-SE" w:eastAsia="sv-SE" w:bidi="sv-SE"/>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sv-SE" w:eastAsia="sv-SE" w:bidi="sv-SE"/>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sv-SE" w:eastAsia="sv-SE" w:bidi="sv-SE"/>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sv-SE" w:eastAsia="sv-SE" w:bidi="sv-S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sv-SE" w:eastAsia="sv-SE" w:bidi="sv-SE"/>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sv-SE" w:eastAsia="sv-SE" w:bidi="sv-S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sv-SE" w:eastAsia="sv-SE" w:bidi="sv-SE"/>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lang w:val="sv-SE" w:eastAsia="sv-SE" w:bidi="sv-SE"/>
    </w:rPr>
  </w:style>
  <w:style w:type="character" w:customStyle="1" w:styleId="BodyText3Char">
    <w:name w:val="Body Text 3 Char"/>
    <w:basedOn w:val="DefaultParagraphFont"/>
    <w:link w:val="BodyText3"/>
    <w:uiPriority w:val="99"/>
    <w:rsid w:val="00AA1D8D"/>
    <w:rPr>
      <w:sz w:val="16"/>
      <w:szCs w:val="16"/>
      <w:lang w:val="sv-SE" w:eastAsia="sv-SE" w:bidi="sv-SE"/>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sv-SE" w:eastAsia="sv-SE" w:bidi="sv-SE"/>
    </w:rPr>
  </w:style>
  <w:style w:type="character" w:customStyle="1" w:styleId="MacroTextChar">
    <w:name w:val="Macro Text Char"/>
    <w:basedOn w:val="DefaultParagraphFont"/>
    <w:link w:val="MacroText"/>
    <w:uiPriority w:val="99"/>
    <w:rsid w:val="0029639D"/>
    <w:rPr>
      <w:rFonts w:ascii="Courier" w:hAnsi="Courier"/>
      <w:sz w:val="20"/>
      <w:szCs w:val="20"/>
      <w:lang w:val="sv-SE" w:eastAsia="sv-SE" w:bidi="sv-SE"/>
    </w:rPr>
  </w:style>
  <w:style w:type="paragraph" w:styleId="Quote">
    <w:name w:val="Quote"/>
    <w:basedOn w:val="Normal"/>
    <w:next w:val="Normal"/>
    <w:link w:val="QuoteChar"/>
    <w:uiPriority w:val="29"/>
    <w:qFormat/>
    <w:rsid w:val="00FC693F"/>
    <w:rPr>
      <w:i/>
      <w:iCs/>
      <w:color w:val="000000" w:themeColor="text1"/>
      <w:lang w:val="sv-SE" w:eastAsia="sv-SE" w:bidi="sv-SE"/>
    </w:rPr>
  </w:style>
  <w:style w:type="character" w:customStyle="1" w:styleId="QuoteChar">
    <w:name w:val="Quote Char"/>
    <w:basedOn w:val="DefaultParagraphFont"/>
    <w:link w:val="Quote"/>
    <w:uiPriority w:val="29"/>
    <w:rsid w:val="00FC693F"/>
    <w:rPr>
      <w:i/>
      <w:iCs/>
      <w:color w:val="000000" w:themeColor="text1"/>
      <w:lang w:val="sv-SE" w:eastAsia="sv-SE" w:bidi="sv-SE"/>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sv-SE" w:eastAsia="sv-SE" w:bidi="sv-SE"/>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sv-SE" w:eastAsia="sv-SE" w:bidi="sv-SE"/>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sv-SE" w:eastAsia="sv-SE" w:bidi="sv-SE"/>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sv-SE" w:eastAsia="sv-SE" w:bidi="sv-SE"/>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sv-SE" w:eastAsia="sv-SE" w:bidi="sv-SE"/>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sv-SE" w:eastAsia="sv-SE" w:bidi="sv-SE"/>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sv-SE" w:eastAsia="sv-SE" w:bidi="sv-SE"/>
    </w:rPr>
  </w:style>
  <w:style w:type="character" w:styleId="Strong">
    <w:name w:val="Strong"/>
    <w:basedOn w:val="DefaultParagraphFont"/>
    <w:uiPriority w:val="22"/>
    <w:qFormat/>
    <w:rsid w:val="00FC693F"/>
    <w:rPr>
      <w:b/>
      <w:bCs/>
      <w:lang w:val="sv-SE" w:eastAsia="sv-SE" w:bidi="sv-SE"/>
    </w:rPr>
  </w:style>
  <w:style w:type="character" w:styleId="Emphasis">
    <w:name w:val="Emphasis"/>
    <w:basedOn w:val="DefaultParagraphFont"/>
    <w:uiPriority w:val="20"/>
    <w:qFormat/>
    <w:rsid w:val="00FC693F"/>
    <w:rPr>
      <w:i/>
      <w:iCs/>
      <w:lang w:val="sv-SE" w:eastAsia="sv-SE" w:bidi="sv-SE"/>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sv-SE" w:eastAsia="sv-SE" w:bidi="sv-SE"/>
    </w:rPr>
  </w:style>
  <w:style w:type="character" w:customStyle="1" w:styleId="IntenseQuoteChar">
    <w:name w:val="Intense Quote Char"/>
    <w:basedOn w:val="DefaultParagraphFont"/>
    <w:link w:val="IntenseQuote"/>
    <w:uiPriority w:val="30"/>
    <w:rsid w:val="00FC693F"/>
    <w:rPr>
      <w:b/>
      <w:bCs/>
      <w:i/>
      <w:iCs/>
      <w:color w:val="4F81BD" w:themeColor="accent1"/>
      <w:lang w:val="sv-SE" w:eastAsia="sv-SE" w:bidi="sv-SE"/>
    </w:rPr>
  </w:style>
  <w:style w:type="character" w:styleId="SubtleEmphasis">
    <w:name w:val="Subtle Emphasis"/>
    <w:basedOn w:val="DefaultParagraphFont"/>
    <w:uiPriority w:val="19"/>
    <w:qFormat/>
    <w:rsid w:val="00FC693F"/>
    <w:rPr>
      <w:i/>
      <w:iCs/>
      <w:color w:val="808080" w:themeColor="text1" w:themeTint="7F"/>
      <w:lang w:val="sv-SE" w:eastAsia="sv-SE" w:bidi="sv-SE"/>
    </w:rPr>
  </w:style>
  <w:style w:type="character" w:styleId="IntenseEmphasis">
    <w:name w:val="Intense Emphasis"/>
    <w:basedOn w:val="DefaultParagraphFont"/>
    <w:uiPriority w:val="21"/>
    <w:qFormat/>
    <w:rsid w:val="00FC693F"/>
    <w:rPr>
      <w:b/>
      <w:bCs/>
      <w:i/>
      <w:iCs/>
      <w:color w:val="4F81BD" w:themeColor="accent1"/>
      <w:lang w:val="sv-SE" w:eastAsia="sv-SE" w:bidi="sv-SE"/>
    </w:rPr>
  </w:style>
  <w:style w:type="character" w:styleId="SubtleReference">
    <w:name w:val="Subtle Reference"/>
    <w:basedOn w:val="DefaultParagraphFont"/>
    <w:uiPriority w:val="31"/>
    <w:qFormat/>
    <w:rsid w:val="00FC693F"/>
    <w:rPr>
      <w:smallCaps/>
      <w:color w:val="C0504D" w:themeColor="accent2"/>
      <w:u w:val="single"/>
      <w:lang w:val="sv-SE" w:eastAsia="sv-SE" w:bidi="sv-SE"/>
    </w:rPr>
  </w:style>
  <w:style w:type="character" w:styleId="IntenseReference">
    <w:name w:val="Intense Reference"/>
    <w:basedOn w:val="DefaultParagraphFont"/>
    <w:uiPriority w:val="32"/>
    <w:qFormat/>
    <w:rsid w:val="00FC693F"/>
    <w:rPr>
      <w:b/>
      <w:bCs/>
      <w:smallCaps/>
      <w:color w:val="C0504D" w:themeColor="accent2"/>
      <w:spacing w:val="5"/>
      <w:u w:val="single"/>
      <w:lang w:val="sv-SE" w:eastAsia="sv-SE" w:bidi="sv-SE"/>
    </w:rPr>
  </w:style>
  <w:style w:type="character" w:styleId="BookTitle">
    <w:name w:val="Book Title"/>
    <w:basedOn w:val="DefaultParagraphFont"/>
    <w:uiPriority w:val="33"/>
    <w:qFormat/>
    <w:rsid w:val="00FC693F"/>
    <w:rPr>
      <w:b/>
      <w:bCs/>
      <w:smallCaps/>
      <w:spacing w:val="5"/>
      <w:lang w:val="sv-SE" w:eastAsia="sv-SE" w:bidi="sv-SE"/>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sv-SE" w:eastAsia="sv-SE" w:bidi="sv-S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lang w:val="sv-SE" w:eastAsia="sv-SE" w:bidi="sv-SE"/>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sv-SE" w:eastAsia="sv-SE" w:bidi="sv-S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lang w:val="sv-SE" w:eastAsia="sv-SE" w:bidi="sv-SE"/>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sv-SE" w:eastAsia="sv-SE" w:bidi="sv-S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lang w:val="sv-SE" w:eastAsia="sv-SE" w:bidi="sv-SE"/>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sv-SE" w:eastAsia="sv-SE" w:bidi="sv-S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lang w:val="sv-SE" w:eastAsia="sv-SE" w:bidi="sv-SE"/>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sv-SE" w:eastAsia="sv-SE" w:bidi="sv-S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lang w:val="sv-SE" w:eastAsia="sv-SE" w:bidi="sv-SE"/>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sv-SE" w:eastAsia="sv-SE" w:bidi="sv-S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lang w:val="sv-SE" w:eastAsia="sv-SE" w:bidi="sv-SE"/>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sv-SE" w:eastAsia="sv-SE" w:bidi="sv-S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lang w:val="sv-SE" w:eastAsia="sv-SE" w:bidi="sv-SE"/>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lang w:val="sv-SE" w:eastAsia="sv-SE" w:bidi="sv-SE"/>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000000" w:themeFill="text1"/>
      </w:tcPr>
    </w:tblStylePr>
    <w:tblStylePr w:type="lastRow">
      <w:pPr>
        <w:spacing w:before="0" w:after="0" w:line="240" w:lineRule="auto"/>
      </w:pPr>
      <w:rPr>
        <w:b/>
        <w:bCs/>
        <w:lang w:val="sv-SE" w:eastAsia="sv-SE" w:bidi="sv-SE"/>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4F81BD" w:themeFill="accent1"/>
      </w:tcPr>
    </w:tblStylePr>
    <w:tblStylePr w:type="lastRow">
      <w:pPr>
        <w:spacing w:before="0" w:after="0" w:line="240" w:lineRule="auto"/>
      </w:pPr>
      <w:rPr>
        <w:b/>
        <w:bCs/>
        <w:lang w:val="sv-SE" w:eastAsia="sv-SE" w:bidi="sv-SE"/>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C0504D" w:themeFill="accent2"/>
      </w:tcPr>
    </w:tblStylePr>
    <w:tblStylePr w:type="lastRow">
      <w:pPr>
        <w:spacing w:before="0" w:after="0" w:line="240" w:lineRule="auto"/>
      </w:pPr>
      <w:rPr>
        <w:b/>
        <w:bCs/>
        <w:lang w:val="sv-SE" w:eastAsia="sv-SE" w:bidi="sv-SE"/>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9BBB59" w:themeFill="accent3"/>
      </w:tcPr>
    </w:tblStylePr>
    <w:tblStylePr w:type="lastRow">
      <w:pPr>
        <w:spacing w:before="0" w:after="0" w:line="240" w:lineRule="auto"/>
      </w:pPr>
      <w:rPr>
        <w:b/>
        <w:bCs/>
        <w:lang w:val="sv-SE" w:eastAsia="sv-SE" w:bidi="sv-SE"/>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8064A2" w:themeFill="accent4"/>
      </w:tcPr>
    </w:tblStylePr>
    <w:tblStylePr w:type="lastRow">
      <w:pPr>
        <w:spacing w:before="0" w:after="0" w:line="240" w:lineRule="auto"/>
      </w:pPr>
      <w:rPr>
        <w:b/>
        <w:bCs/>
        <w:lang w:val="sv-SE" w:eastAsia="sv-SE" w:bidi="sv-SE"/>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4BACC6" w:themeFill="accent5"/>
      </w:tcPr>
    </w:tblStylePr>
    <w:tblStylePr w:type="lastRow">
      <w:pPr>
        <w:spacing w:before="0" w:after="0" w:line="240" w:lineRule="auto"/>
      </w:pPr>
      <w:rPr>
        <w:b/>
        <w:bCs/>
        <w:lang w:val="sv-SE" w:eastAsia="sv-SE" w:bidi="sv-SE"/>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shd w:val="clear" w:color="auto" w:fill="F79646" w:themeFill="accent6"/>
      </w:tcPr>
    </w:tblStylePr>
    <w:tblStylePr w:type="lastRow">
      <w:pPr>
        <w:spacing w:before="0" w:after="0" w:line="240" w:lineRule="auto"/>
      </w:pPr>
      <w:rPr>
        <w:b/>
        <w:bCs/>
        <w:lang w:val="sv-SE" w:eastAsia="sv-SE" w:bidi="sv-SE"/>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lang w:val="sv-SE" w:eastAsia="sv-SE" w:bidi="sv-SE"/>
      </w:rPr>
    </w:tblStylePr>
    <w:tblStylePr w:type="lastCol">
      <w:rPr>
        <w:b/>
        <w:bCs/>
        <w:lang w:val="sv-SE" w:eastAsia="sv-SE" w:bidi="sv-SE"/>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lang w:val="sv-SE" w:eastAsia="sv-SE" w:bidi="sv-SE"/>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lang w:val="sv-SE" w:eastAsia="sv-SE" w:bidi="sv-SE"/>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lang w:val="sv-SE" w:eastAsia="sv-SE" w:bidi="sv-SE"/>
      </w:rPr>
    </w:tblStylePr>
    <w:tblStylePr w:type="lastCol">
      <w:rPr>
        <w:rFonts w:asciiTheme="majorHAnsi" w:eastAsiaTheme="majorEastAsia" w:hAnsiTheme="majorHAnsi" w:cstheme="majorBidi"/>
        <w:b/>
        <w:bCs/>
        <w:lang w:val="sv-SE" w:eastAsia="sv-SE" w:bidi="sv-SE"/>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lang w:val="sv-SE" w:eastAsia="sv-SE" w:bidi="sv-SE"/>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lang w:val="sv-SE" w:eastAsia="sv-SE" w:bidi="sv-SE"/>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lang w:val="sv-SE" w:eastAsia="sv-SE" w:bidi="sv-SE"/>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lang w:val="sv-SE" w:eastAsia="sv-SE" w:bidi="sv-SE"/>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lang w:val="sv-SE" w:eastAsia="sv-SE" w:bidi="sv-SE"/>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lang w:val="sv-SE" w:eastAsia="sv-SE" w:bidi="sv-SE"/>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lang w:val="sv-SE" w:eastAsia="sv-SE" w:bidi="sv-SE"/>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lang w:val="sv-SE" w:eastAsia="sv-SE" w:bidi="sv-SE"/>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lang w:val="sv-SE" w:eastAsia="sv-SE" w:bidi="sv-SE"/>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lang w:val="sv-SE" w:eastAsia="sv-SE" w:bidi="sv-SE"/>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lang w:val="sv-SE" w:eastAsia="sv-SE" w:bidi="sv-SE"/>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lang w:val="sv-SE" w:eastAsia="sv-SE" w:bidi="sv-SE"/>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lang w:val="sv-SE" w:eastAsia="sv-SE" w:bidi="sv-SE"/>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lang w:val="sv-SE" w:eastAsia="sv-SE" w:bidi="sv-SE"/>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lang w:val="sv-SE" w:eastAsia="sv-SE" w:bidi="sv-SE"/>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lang w:val="sv-SE" w:eastAsia="sv-SE" w:bidi="sv-SE"/>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lang w:val="sv-SE" w:eastAsia="sv-SE" w:bidi="sv-SE"/>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lang w:val="sv-SE" w:eastAsia="sv-SE" w:bidi="sv-SE"/>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000000" w:themeColor="text1"/>
        </w:tcBorders>
      </w:tcPr>
    </w:tblStylePr>
    <w:tblStylePr w:type="lastRow">
      <w:rPr>
        <w:b/>
        <w:bCs/>
        <w:color w:val="1F497D" w:themeColor="text2"/>
        <w:lang w:val="sv-SE" w:eastAsia="sv-SE" w:bidi="sv-SE"/>
      </w:rPr>
      <w:tblPr/>
      <w:tcPr>
        <w:tcBorders>
          <w:top w:val="single" w:sz="8" w:space="0" w:color="000000" w:themeColor="text1"/>
          <w:bottom w:val="single" w:sz="8" w:space="0" w:color="000000" w:themeColor="text1"/>
        </w:tcBorders>
      </w:tcPr>
    </w:tblStylePr>
    <w:tblStylePr w:type="firstCol">
      <w:rPr>
        <w:b/>
        <w:bCs/>
        <w:lang w:val="sv-SE" w:eastAsia="sv-SE" w:bidi="sv-SE"/>
      </w:rPr>
    </w:tblStylePr>
    <w:tblStylePr w:type="lastCol">
      <w:rPr>
        <w:b/>
        <w:bCs/>
        <w:lang w:val="sv-SE" w:eastAsia="sv-SE" w:bidi="sv-SE"/>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4F81BD" w:themeColor="accent1"/>
        </w:tcBorders>
      </w:tcPr>
    </w:tblStylePr>
    <w:tblStylePr w:type="lastRow">
      <w:rPr>
        <w:b/>
        <w:bCs/>
        <w:color w:val="1F497D" w:themeColor="text2"/>
        <w:lang w:val="sv-SE" w:eastAsia="sv-SE" w:bidi="sv-SE"/>
      </w:rPr>
      <w:tblPr/>
      <w:tcPr>
        <w:tcBorders>
          <w:top w:val="single" w:sz="8" w:space="0" w:color="4F81BD" w:themeColor="accent1"/>
          <w:bottom w:val="single" w:sz="8" w:space="0" w:color="4F81BD" w:themeColor="accent1"/>
        </w:tcBorders>
      </w:tcPr>
    </w:tblStylePr>
    <w:tblStylePr w:type="firstCol">
      <w:rPr>
        <w:b/>
        <w:bCs/>
        <w:lang w:val="sv-SE" w:eastAsia="sv-SE" w:bidi="sv-SE"/>
      </w:rPr>
    </w:tblStylePr>
    <w:tblStylePr w:type="lastCol">
      <w:rPr>
        <w:b/>
        <w:bCs/>
        <w:lang w:val="sv-SE" w:eastAsia="sv-SE" w:bidi="sv-SE"/>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C0504D" w:themeColor="accent2"/>
        </w:tcBorders>
      </w:tcPr>
    </w:tblStylePr>
    <w:tblStylePr w:type="lastRow">
      <w:rPr>
        <w:b/>
        <w:bCs/>
        <w:color w:val="1F497D" w:themeColor="text2"/>
        <w:lang w:val="sv-SE" w:eastAsia="sv-SE" w:bidi="sv-SE"/>
      </w:rPr>
      <w:tblPr/>
      <w:tcPr>
        <w:tcBorders>
          <w:top w:val="single" w:sz="8" w:space="0" w:color="C0504D" w:themeColor="accent2"/>
          <w:bottom w:val="single" w:sz="8" w:space="0" w:color="C0504D" w:themeColor="accent2"/>
        </w:tcBorders>
      </w:tcPr>
    </w:tblStylePr>
    <w:tblStylePr w:type="firstCol">
      <w:rPr>
        <w:b/>
        <w:bCs/>
        <w:lang w:val="sv-SE" w:eastAsia="sv-SE" w:bidi="sv-SE"/>
      </w:rPr>
    </w:tblStylePr>
    <w:tblStylePr w:type="lastCol">
      <w:rPr>
        <w:b/>
        <w:bCs/>
        <w:lang w:val="sv-SE" w:eastAsia="sv-SE" w:bidi="sv-SE"/>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9BBB59" w:themeColor="accent3"/>
        </w:tcBorders>
      </w:tcPr>
    </w:tblStylePr>
    <w:tblStylePr w:type="lastRow">
      <w:rPr>
        <w:b/>
        <w:bCs/>
        <w:color w:val="1F497D" w:themeColor="text2"/>
        <w:lang w:val="sv-SE" w:eastAsia="sv-SE" w:bidi="sv-SE"/>
      </w:rPr>
      <w:tblPr/>
      <w:tcPr>
        <w:tcBorders>
          <w:top w:val="single" w:sz="8" w:space="0" w:color="9BBB59" w:themeColor="accent3"/>
          <w:bottom w:val="single" w:sz="8" w:space="0" w:color="9BBB59" w:themeColor="accent3"/>
        </w:tcBorders>
      </w:tcPr>
    </w:tblStylePr>
    <w:tblStylePr w:type="firstCol">
      <w:rPr>
        <w:b/>
        <w:bCs/>
        <w:lang w:val="sv-SE" w:eastAsia="sv-SE" w:bidi="sv-SE"/>
      </w:rPr>
    </w:tblStylePr>
    <w:tblStylePr w:type="lastCol">
      <w:rPr>
        <w:b/>
        <w:bCs/>
        <w:lang w:val="sv-SE" w:eastAsia="sv-SE" w:bidi="sv-SE"/>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8064A2" w:themeColor="accent4"/>
        </w:tcBorders>
      </w:tcPr>
    </w:tblStylePr>
    <w:tblStylePr w:type="lastRow">
      <w:rPr>
        <w:b/>
        <w:bCs/>
        <w:color w:val="1F497D" w:themeColor="text2"/>
        <w:lang w:val="sv-SE" w:eastAsia="sv-SE" w:bidi="sv-SE"/>
      </w:rPr>
      <w:tblPr/>
      <w:tcPr>
        <w:tcBorders>
          <w:top w:val="single" w:sz="8" w:space="0" w:color="8064A2" w:themeColor="accent4"/>
          <w:bottom w:val="single" w:sz="8" w:space="0" w:color="8064A2" w:themeColor="accent4"/>
        </w:tcBorders>
      </w:tcPr>
    </w:tblStylePr>
    <w:tblStylePr w:type="firstCol">
      <w:rPr>
        <w:b/>
        <w:bCs/>
        <w:lang w:val="sv-SE" w:eastAsia="sv-SE" w:bidi="sv-SE"/>
      </w:rPr>
    </w:tblStylePr>
    <w:tblStylePr w:type="lastCol">
      <w:rPr>
        <w:b/>
        <w:bCs/>
        <w:lang w:val="sv-SE" w:eastAsia="sv-SE" w:bidi="sv-SE"/>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4BACC6" w:themeColor="accent5"/>
        </w:tcBorders>
      </w:tcPr>
    </w:tblStylePr>
    <w:tblStylePr w:type="lastRow">
      <w:rPr>
        <w:b/>
        <w:bCs/>
        <w:color w:val="1F497D" w:themeColor="text2"/>
        <w:lang w:val="sv-SE" w:eastAsia="sv-SE" w:bidi="sv-SE"/>
      </w:rPr>
      <w:tblPr/>
      <w:tcPr>
        <w:tcBorders>
          <w:top w:val="single" w:sz="8" w:space="0" w:color="4BACC6" w:themeColor="accent5"/>
          <w:bottom w:val="single" w:sz="8" w:space="0" w:color="4BACC6" w:themeColor="accent5"/>
        </w:tcBorders>
      </w:tcPr>
    </w:tblStylePr>
    <w:tblStylePr w:type="firstCol">
      <w:rPr>
        <w:b/>
        <w:bCs/>
        <w:lang w:val="sv-SE" w:eastAsia="sv-SE" w:bidi="sv-SE"/>
      </w:rPr>
    </w:tblStylePr>
    <w:tblStylePr w:type="lastCol">
      <w:rPr>
        <w:b/>
        <w:bCs/>
        <w:lang w:val="sv-SE" w:eastAsia="sv-SE" w:bidi="sv-SE"/>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sv-SE" w:eastAsia="sv-SE" w:bidi="sv-S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lang w:val="sv-SE" w:eastAsia="sv-SE" w:bidi="sv-SE"/>
      </w:rPr>
      <w:tblPr/>
      <w:tcPr>
        <w:tcBorders>
          <w:top w:val="nil"/>
          <w:bottom w:val="single" w:sz="8" w:space="0" w:color="F79646" w:themeColor="accent6"/>
        </w:tcBorders>
      </w:tcPr>
    </w:tblStylePr>
    <w:tblStylePr w:type="lastRow">
      <w:rPr>
        <w:b/>
        <w:bCs/>
        <w:color w:val="1F497D" w:themeColor="text2"/>
        <w:lang w:val="sv-SE" w:eastAsia="sv-SE" w:bidi="sv-SE"/>
      </w:rPr>
      <w:tblPr/>
      <w:tcPr>
        <w:tcBorders>
          <w:top w:val="single" w:sz="8" w:space="0" w:color="F79646" w:themeColor="accent6"/>
          <w:bottom w:val="single" w:sz="8" w:space="0" w:color="F79646" w:themeColor="accent6"/>
        </w:tcBorders>
      </w:tcPr>
    </w:tblStylePr>
    <w:tblStylePr w:type="firstCol">
      <w:rPr>
        <w:b/>
        <w:bCs/>
        <w:lang w:val="sv-SE" w:eastAsia="sv-SE" w:bidi="sv-SE"/>
      </w:rPr>
    </w:tblStylePr>
    <w:tblStylePr w:type="lastCol">
      <w:rPr>
        <w:b/>
        <w:bCs/>
        <w:lang w:val="sv-SE" w:eastAsia="sv-SE" w:bidi="sv-SE"/>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lang w:val="sv-SE" w:eastAsia="sv-SE" w:bidi="sv-SE"/>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lang w:val="sv-SE" w:eastAsia="sv-SE" w:bidi="sv-SE"/>
      </w:rPr>
    </w:tblStylePr>
    <w:tblStylePr w:type="lastRow">
      <w:rPr>
        <w:b/>
        <w:bCs/>
        <w:lang w:val="sv-SE" w:eastAsia="sv-SE" w:bidi="sv-SE"/>
      </w:rPr>
      <w:tblPr/>
      <w:tcPr>
        <w:tcBorders>
          <w:top w:val="single" w:sz="18" w:space="0" w:color="404040" w:themeColor="text1"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lang w:val="sv-SE" w:eastAsia="sv-SE" w:bidi="sv-SE"/>
      </w:rPr>
    </w:tblStylePr>
    <w:tblStylePr w:type="lastRow">
      <w:rPr>
        <w:b/>
        <w:bCs/>
        <w:lang w:val="sv-SE" w:eastAsia="sv-SE" w:bidi="sv-SE"/>
      </w:rPr>
      <w:tblPr/>
      <w:tcPr>
        <w:tcBorders>
          <w:top w:val="single" w:sz="18" w:space="0" w:color="7BA0CD" w:themeColor="accent1"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lang w:val="sv-SE" w:eastAsia="sv-SE" w:bidi="sv-SE"/>
      </w:rPr>
    </w:tblStylePr>
    <w:tblStylePr w:type="lastRow">
      <w:rPr>
        <w:b/>
        <w:bCs/>
        <w:lang w:val="sv-SE" w:eastAsia="sv-SE" w:bidi="sv-SE"/>
      </w:rPr>
      <w:tblPr/>
      <w:tcPr>
        <w:tcBorders>
          <w:top w:val="single" w:sz="18" w:space="0" w:color="CF7B79" w:themeColor="accent2"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lang w:val="sv-SE" w:eastAsia="sv-SE" w:bidi="sv-SE"/>
      </w:rPr>
    </w:tblStylePr>
    <w:tblStylePr w:type="lastRow">
      <w:rPr>
        <w:b/>
        <w:bCs/>
        <w:lang w:val="sv-SE" w:eastAsia="sv-SE" w:bidi="sv-SE"/>
      </w:rPr>
      <w:tblPr/>
      <w:tcPr>
        <w:tcBorders>
          <w:top w:val="single" w:sz="18" w:space="0" w:color="B3CC82" w:themeColor="accent3"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lang w:val="sv-SE" w:eastAsia="sv-SE" w:bidi="sv-SE"/>
      </w:rPr>
    </w:tblStylePr>
    <w:tblStylePr w:type="lastRow">
      <w:rPr>
        <w:b/>
        <w:bCs/>
        <w:lang w:val="sv-SE" w:eastAsia="sv-SE" w:bidi="sv-SE"/>
      </w:rPr>
      <w:tblPr/>
      <w:tcPr>
        <w:tcBorders>
          <w:top w:val="single" w:sz="18" w:space="0" w:color="9F8AB9" w:themeColor="accent4"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lang w:val="sv-SE" w:eastAsia="sv-SE" w:bidi="sv-SE"/>
      </w:rPr>
    </w:tblStylePr>
    <w:tblStylePr w:type="lastRow">
      <w:rPr>
        <w:b/>
        <w:bCs/>
        <w:lang w:val="sv-SE" w:eastAsia="sv-SE" w:bidi="sv-SE"/>
      </w:rPr>
      <w:tblPr/>
      <w:tcPr>
        <w:tcBorders>
          <w:top w:val="single" w:sz="18" w:space="0" w:color="78C0D4" w:themeColor="accent5"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lang w:val="sv-SE" w:eastAsia="sv-SE" w:bidi="sv-SE"/>
      </w:rPr>
    </w:tblStylePr>
    <w:tblStylePr w:type="lastRow">
      <w:rPr>
        <w:b/>
        <w:bCs/>
        <w:lang w:val="sv-SE" w:eastAsia="sv-SE" w:bidi="sv-SE"/>
      </w:rPr>
      <w:tblPr/>
      <w:tcPr>
        <w:tcBorders>
          <w:top w:val="single" w:sz="18" w:space="0" w:color="F9B074" w:themeColor="accent6" w:themeTint="BF"/>
        </w:tcBorders>
      </w:tcPr>
    </w:tblStylePr>
    <w:tblStylePr w:type="firstCol">
      <w:rPr>
        <w:b/>
        <w:bCs/>
        <w:lang w:val="sv-SE" w:eastAsia="sv-SE" w:bidi="sv-SE"/>
      </w:rPr>
    </w:tblStylePr>
    <w:tblStylePr w:type="lastCol">
      <w:rPr>
        <w:b/>
        <w:bCs/>
        <w:lang w:val="sv-SE" w:eastAsia="sv-SE" w:bidi="sv-SE"/>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lang w:val="sv-SE" w:eastAsia="sv-SE" w:bidi="sv-SE"/>
      </w:rPr>
      <w:tblPr/>
      <w:tcPr>
        <w:shd w:val="clear" w:color="auto" w:fill="E6E6E6" w:themeFill="text1"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lang w:val="sv-SE" w:eastAsia="sv-SE" w:bidi="sv-SE"/>
      </w:rPr>
      <w:tblPr/>
      <w:tcPr>
        <w:shd w:val="clear" w:color="auto" w:fill="EDF2F8" w:themeFill="accent1"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lang w:val="sv-SE" w:eastAsia="sv-SE" w:bidi="sv-SE"/>
      </w:rPr>
      <w:tblPr/>
      <w:tcPr>
        <w:shd w:val="clear" w:color="auto" w:fill="F8EDED" w:themeFill="accent2"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lang w:val="sv-SE" w:eastAsia="sv-SE" w:bidi="sv-SE"/>
      </w:rPr>
      <w:tblPr/>
      <w:tcPr>
        <w:shd w:val="clear" w:color="auto" w:fill="F5F8EE" w:themeFill="accent3"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lang w:val="sv-SE" w:eastAsia="sv-SE" w:bidi="sv-SE"/>
      </w:rPr>
      <w:tblPr/>
      <w:tcPr>
        <w:shd w:val="clear" w:color="auto" w:fill="F2EFF6" w:themeFill="accent4"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lang w:val="sv-SE" w:eastAsia="sv-SE" w:bidi="sv-SE"/>
      </w:rPr>
      <w:tblPr/>
      <w:tcPr>
        <w:shd w:val="clear" w:color="auto" w:fill="EDF6F9" w:themeFill="accent5"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sv-SE" w:eastAsia="sv-SE" w:bidi="sv-S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lang w:val="sv-SE" w:eastAsia="sv-SE" w:bidi="sv-SE"/>
      </w:rPr>
      <w:tblPr/>
      <w:tcPr>
        <w:shd w:val="clear" w:color="auto" w:fill="FEF4EC" w:themeFill="accent6" w:themeFillTint="19"/>
      </w:tcPr>
    </w:tblStylePr>
    <w:tblStylePr w:type="lastRow">
      <w:rPr>
        <w:b/>
        <w:bCs/>
        <w:color w:val="000000" w:themeColor="text1"/>
        <w:lang w:val="sv-SE" w:eastAsia="sv-SE" w:bidi="sv-SE"/>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lang w:val="sv-SE" w:eastAsia="sv-SE" w:bidi="sv-SE"/>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lang w:val="sv-SE" w:eastAsia="sv-SE" w:bidi="sv-SE"/>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lang w:val="sv-SE" w:eastAsia="sv-SE" w:bidi="sv-SE"/>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lang w:val="sv-SE" w:eastAsia="sv-SE" w:bidi="sv-SE"/>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lang w:val="sv-SE" w:eastAsia="sv-SE" w:bidi="sv-SE"/>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lang w:val="sv-SE" w:eastAsia="sv-SE" w:bidi="sv-SE"/>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sv-SE" w:eastAsia="sv-SE" w:bidi="sv-S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lang w:val="sv-SE" w:eastAsia="sv-SE" w:bidi="sv-SE"/>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lang w:val="sv-SE" w:eastAsia="sv-SE" w:bidi="sv-SE"/>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000000" w:themeFill="text1" w:themeFillShade="99"/>
      </w:tcPr>
    </w:tblStylePr>
    <w:tblStylePr w:type="firstCol">
      <w:rPr>
        <w:color w:val="FFFFFF" w:themeColor="background1"/>
        <w:lang w:val="sv-SE" w:eastAsia="sv-SE" w:bidi="sv-SE"/>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Shading-Accent1">
    <w:name w:val="Colorful Shading Accent 1"/>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lang w:val="sv-SE" w:eastAsia="sv-SE" w:bidi="sv-SE"/>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2C4C74" w:themeFill="accent1" w:themeFillShade="99"/>
      </w:tcPr>
    </w:tblStylePr>
    <w:tblStylePr w:type="firstCol">
      <w:rPr>
        <w:color w:val="FFFFFF" w:themeColor="background1"/>
        <w:lang w:val="sv-SE" w:eastAsia="sv-SE" w:bidi="sv-SE"/>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Shading-Accent2">
    <w:name w:val="Colorful Shading Accent 2"/>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lang w:val="sv-SE" w:eastAsia="sv-SE" w:bidi="sv-SE"/>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772C2A" w:themeFill="accent2" w:themeFillShade="99"/>
      </w:tcPr>
    </w:tblStylePr>
    <w:tblStylePr w:type="firstCol">
      <w:rPr>
        <w:color w:val="FFFFFF" w:themeColor="background1"/>
        <w:lang w:val="sv-SE" w:eastAsia="sv-SE" w:bidi="sv-SE"/>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Shading-Accent3">
    <w:name w:val="Colorful Shading Accent 3"/>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lang w:val="sv-SE" w:eastAsia="sv-SE" w:bidi="sv-SE"/>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5E7530" w:themeFill="accent3" w:themeFillShade="99"/>
      </w:tcPr>
    </w:tblStylePr>
    <w:tblStylePr w:type="firstCol">
      <w:rPr>
        <w:color w:val="FFFFFF" w:themeColor="background1"/>
        <w:lang w:val="sv-SE" w:eastAsia="sv-SE" w:bidi="sv-SE"/>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lang w:val="sv-SE" w:eastAsia="sv-SE" w:bidi="sv-SE"/>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4C3B62" w:themeFill="accent4" w:themeFillShade="99"/>
      </w:tcPr>
    </w:tblStylePr>
    <w:tblStylePr w:type="firstCol">
      <w:rPr>
        <w:color w:val="FFFFFF" w:themeColor="background1"/>
        <w:lang w:val="sv-SE" w:eastAsia="sv-SE" w:bidi="sv-SE"/>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Shading-Accent5">
    <w:name w:val="Colorful Shading Accent 5"/>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lang w:val="sv-SE" w:eastAsia="sv-SE" w:bidi="sv-SE"/>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276A7C" w:themeFill="accent5" w:themeFillShade="99"/>
      </w:tcPr>
    </w:tblStylePr>
    <w:tblStylePr w:type="firstCol">
      <w:rPr>
        <w:color w:val="FFFFFF" w:themeColor="background1"/>
        <w:lang w:val="sv-SE" w:eastAsia="sv-SE" w:bidi="sv-SE"/>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Shading-Accent6">
    <w:name w:val="Colorful Shading Accent 6"/>
    <w:basedOn w:val="TableNormal"/>
    <w:uiPriority w:val="71"/>
    <w:rsid w:val="00CB0664"/>
    <w:pPr>
      <w:spacing w:after="0" w:line="240" w:lineRule="auto"/>
    </w:pPr>
    <w:rPr>
      <w:color w:val="000000" w:themeColor="text1"/>
      <w:lang w:val="sv-SE" w:eastAsia="sv-SE" w:bidi="sv-S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lang w:val="sv-SE" w:eastAsia="sv-SE" w:bidi="sv-SE"/>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lang w:val="sv-SE" w:eastAsia="sv-SE" w:bidi="sv-SE"/>
      </w:rPr>
      <w:tblPr/>
      <w:tcPr>
        <w:tcBorders>
          <w:top w:val="single" w:sz="6" w:space="0" w:color="FFFFFF" w:themeColor="background1"/>
        </w:tcBorders>
        <w:shd w:val="clear" w:color="auto" w:fill="B65608" w:themeFill="accent6" w:themeFillShade="99"/>
      </w:tcPr>
    </w:tblStylePr>
    <w:tblStylePr w:type="firstCol">
      <w:rPr>
        <w:color w:val="FFFFFF" w:themeColor="background1"/>
        <w:lang w:val="sv-SE" w:eastAsia="sv-SE" w:bidi="sv-SE"/>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lang w:val="sv-SE" w:eastAsia="sv-SE" w:bidi="sv-SE"/>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lang w:val="sv-SE" w:eastAsia="sv-SE" w:bidi="sv-SE"/>
      </w:rPr>
    </w:tblStylePr>
    <w:tblStylePr w:type="nwCell">
      <w:rPr>
        <w:color w:val="000000" w:themeColor="text1"/>
        <w:lang w:val="sv-SE" w:eastAsia="sv-SE" w:bidi="sv-SE"/>
      </w:rPr>
    </w:tblStylePr>
  </w:style>
  <w:style w:type="table" w:styleId="ColorfulList">
    <w:name w:val="Colorful List"/>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sv-SE" w:eastAsia="sv-SE" w:bidi="sv-S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lang w:val="sv-SE" w:eastAsia="sv-SE" w:bidi="sv-SE"/>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lang w:val="sv-SE" w:eastAsia="sv-SE" w:bidi="sv-SE"/>
      </w:rPr>
      <w:tblPr/>
      <w:tcPr>
        <w:tcBorders>
          <w:top w:val="single" w:sz="12" w:space="0" w:color="000000" w:themeColor="text1"/>
        </w:tcBorders>
        <w:shd w:val="clear" w:color="auto" w:fill="FFFFFF" w:themeFill="background1"/>
      </w:tcPr>
    </w:tblStylePr>
    <w:tblStylePr w:type="firstCol">
      <w:rPr>
        <w:b/>
        <w:bCs/>
        <w:lang w:val="sv-SE" w:eastAsia="sv-SE" w:bidi="sv-SE"/>
      </w:rPr>
    </w:tblStylePr>
    <w:tblStylePr w:type="lastCol">
      <w:rPr>
        <w:b/>
        <w:bCs/>
        <w:lang w:val="sv-SE" w:eastAsia="sv-SE" w:bidi="sv-SE"/>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lang w:val="sv-SE" w:eastAsia="sv-SE" w:bidi="sv-SE"/>
      </w:rPr>
      <w:tblPr/>
      <w:tcPr>
        <w:shd w:val="clear" w:color="auto" w:fill="999999" w:themeFill="text1" w:themeFillTint="66"/>
      </w:tcPr>
    </w:tblStylePr>
    <w:tblStylePr w:type="lastRow">
      <w:rPr>
        <w:b/>
        <w:bCs/>
        <w:color w:val="000000" w:themeColor="text1"/>
        <w:lang w:val="sv-SE" w:eastAsia="sv-SE" w:bidi="sv-SE"/>
      </w:rPr>
      <w:tblPr/>
      <w:tcPr>
        <w:shd w:val="clear" w:color="auto" w:fill="999999" w:themeFill="text1" w:themeFillTint="66"/>
      </w:tcPr>
    </w:tblStylePr>
    <w:tblStylePr w:type="firstCol">
      <w:rPr>
        <w:color w:val="FFFFFF" w:themeColor="background1"/>
        <w:lang w:val="sv-SE" w:eastAsia="sv-SE" w:bidi="sv-SE"/>
      </w:rPr>
      <w:tblPr/>
      <w:tcPr>
        <w:shd w:val="clear" w:color="auto" w:fill="000000" w:themeFill="text1" w:themeFillShade="BF"/>
      </w:tcPr>
    </w:tblStylePr>
    <w:tblStylePr w:type="lastCol">
      <w:rPr>
        <w:color w:val="FFFFFF" w:themeColor="background1"/>
        <w:lang w:val="sv-SE" w:eastAsia="sv-SE" w:bidi="sv-SE"/>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lang w:val="sv-SE" w:eastAsia="sv-SE" w:bidi="sv-SE"/>
      </w:rPr>
      <w:tblPr/>
      <w:tcPr>
        <w:shd w:val="clear" w:color="auto" w:fill="B8CCE4" w:themeFill="accent1" w:themeFillTint="66"/>
      </w:tcPr>
    </w:tblStylePr>
    <w:tblStylePr w:type="lastRow">
      <w:rPr>
        <w:b/>
        <w:bCs/>
        <w:color w:val="000000" w:themeColor="text1"/>
        <w:lang w:val="sv-SE" w:eastAsia="sv-SE" w:bidi="sv-SE"/>
      </w:rPr>
      <w:tblPr/>
      <w:tcPr>
        <w:shd w:val="clear" w:color="auto" w:fill="B8CCE4" w:themeFill="accent1" w:themeFillTint="66"/>
      </w:tcPr>
    </w:tblStylePr>
    <w:tblStylePr w:type="firstCol">
      <w:rPr>
        <w:color w:val="FFFFFF" w:themeColor="background1"/>
        <w:lang w:val="sv-SE" w:eastAsia="sv-SE" w:bidi="sv-SE"/>
      </w:rPr>
      <w:tblPr/>
      <w:tcPr>
        <w:shd w:val="clear" w:color="auto" w:fill="365F91" w:themeFill="accent1" w:themeFillShade="BF"/>
      </w:tcPr>
    </w:tblStylePr>
    <w:tblStylePr w:type="lastCol">
      <w:rPr>
        <w:color w:val="FFFFFF" w:themeColor="background1"/>
        <w:lang w:val="sv-SE" w:eastAsia="sv-SE" w:bidi="sv-SE"/>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lang w:val="sv-SE" w:eastAsia="sv-SE" w:bidi="sv-SE"/>
      </w:rPr>
      <w:tblPr/>
      <w:tcPr>
        <w:shd w:val="clear" w:color="auto" w:fill="E5B8B7" w:themeFill="accent2" w:themeFillTint="66"/>
      </w:tcPr>
    </w:tblStylePr>
    <w:tblStylePr w:type="lastRow">
      <w:rPr>
        <w:b/>
        <w:bCs/>
        <w:color w:val="000000" w:themeColor="text1"/>
        <w:lang w:val="sv-SE" w:eastAsia="sv-SE" w:bidi="sv-SE"/>
      </w:rPr>
      <w:tblPr/>
      <w:tcPr>
        <w:shd w:val="clear" w:color="auto" w:fill="E5B8B7" w:themeFill="accent2" w:themeFillTint="66"/>
      </w:tcPr>
    </w:tblStylePr>
    <w:tblStylePr w:type="firstCol">
      <w:rPr>
        <w:color w:val="FFFFFF" w:themeColor="background1"/>
        <w:lang w:val="sv-SE" w:eastAsia="sv-SE" w:bidi="sv-SE"/>
      </w:rPr>
      <w:tblPr/>
      <w:tcPr>
        <w:shd w:val="clear" w:color="auto" w:fill="943634" w:themeFill="accent2" w:themeFillShade="BF"/>
      </w:tcPr>
    </w:tblStylePr>
    <w:tblStylePr w:type="lastCol">
      <w:rPr>
        <w:color w:val="FFFFFF" w:themeColor="background1"/>
        <w:lang w:val="sv-SE" w:eastAsia="sv-SE" w:bidi="sv-SE"/>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lang w:val="sv-SE" w:eastAsia="sv-SE" w:bidi="sv-SE"/>
      </w:rPr>
      <w:tblPr/>
      <w:tcPr>
        <w:shd w:val="clear" w:color="auto" w:fill="D6E3BC" w:themeFill="accent3" w:themeFillTint="66"/>
      </w:tcPr>
    </w:tblStylePr>
    <w:tblStylePr w:type="lastRow">
      <w:rPr>
        <w:b/>
        <w:bCs/>
        <w:color w:val="000000" w:themeColor="text1"/>
        <w:lang w:val="sv-SE" w:eastAsia="sv-SE" w:bidi="sv-SE"/>
      </w:rPr>
      <w:tblPr/>
      <w:tcPr>
        <w:shd w:val="clear" w:color="auto" w:fill="D6E3BC" w:themeFill="accent3" w:themeFillTint="66"/>
      </w:tcPr>
    </w:tblStylePr>
    <w:tblStylePr w:type="firstCol">
      <w:rPr>
        <w:color w:val="FFFFFF" w:themeColor="background1"/>
        <w:lang w:val="sv-SE" w:eastAsia="sv-SE" w:bidi="sv-SE"/>
      </w:rPr>
      <w:tblPr/>
      <w:tcPr>
        <w:shd w:val="clear" w:color="auto" w:fill="76923C" w:themeFill="accent3" w:themeFillShade="BF"/>
      </w:tcPr>
    </w:tblStylePr>
    <w:tblStylePr w:type="lastCol">
      <w:rPr>
        <w:color w:val="FFFFFF" w:themeColor="background1"/>
        <w:lang w:val="sv-SE" w:eastAsia="sv-SE" w:bidi="sv-SE"/>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lang w:val="sv-SE" w:eastAsia="sv-SE" w:bidi="sv-SE"/>
      </w:rPr>
      <w:tblPr/>
      <w:tcPr>
        <w:shd w:val="clear" w:color="auto" w:fill="CCC0D9" w:themeFill="accent4" w:themeFillTint="66"/>
      </w:tcPr>
    </w:tblStylePr>
    <w:tblStylePr w:type="lastRow">
      <w:rPr>
        <w:b/>
        <w:bCs/>
        <w:color w:val="000000" w:themeColor="text1"/>
        <w:lang w:val="sv-SE" w:eastAsia="sv-SE" w:bidi="sv-SE"/>
      </w:rPr>
      <w:tblPr/>
      <w:tcPr>
        <w:shd w:val="clear" w:color="auto" w:fill="CCC0D9" w:themeFill="accent4" w:themeFillTint="66"/>
      </w:tcPr>
    </w:tblStylePr>
    <w:tblStylePr w:type="firstCol">
      <w:rPr>
        <w:color w:val="FFFFFF" w:themeColor="background1"/>
        <w:lang w:val="sv-SE" w:eastAsia="sv-SE" w:bidi="sv-SE"/>
      </w:rPr>
      <w:tblPr/>
      <w:tcPr>
        <w:shd w:val="clear" w:color="auto" w:fill="5F497A" w:themeFill="accent4" w:themeFillShade="BF"/>
      </w:tcPr>
    </w:tblStylePr>
    <w:tblStylePr w:type="lastCol">
      <w:rPr>
        <w:color w:val="FFFFFF" w:themeColor="background1"/>
        <w:lang w:val="sv-SE" w:eastAsia="sv-SE" w:bidi="sv-SE"/>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lang w:val="sv-SE" w:eastAsia="sv-SE" w:bidi="sv-SE"/>
      </w:rPr>
      <w:tblPr/>
      <w:tcPr>
        <w:shd w:val="clear" w:color="auto" w:fill="B6DDE8" w:themeFill="accent5" w:themeFillTint="66"/>
      </w:tcPr>
    </w:tblStylePr>
    <w:tblStylePr w:type="lastRow">
      <w:rPr>
        <w:b/>
        <w:bCs/>
        <w:color w:val="000000" w:themeColor="text1"/>
        <w:lang w:val="sv-SE" w:eastAsia="sv-SE" w:bidi="sv-SE"/>
      </w:rPr>
      <w:tblPr/>
      <w:tcPr>
        <w:shd w:val="clear" w:color="auto" w:fill="B6DDE8" w:themeFill="accent5" w:themeFillTint="66"/>
      </w:tcPr>
    </w:tblStylePr>
    <w:tblStylePr w:type="firstCol">
      <w:rPr>
        <w:color w:val="FFFFFF" w:themeColor="background1"/>
        <w:lang w:val="sv-SE" w:eastAsia="sv-SE" w:bidi="sv-SE"/>
      </w:rPr>
      <w:tblPr/>
      <w:tcPr>
        <w:shd w:val="clear" w:color="auto" w:fill="31849B" w:themeFill="accent5" w:themeFillShade="BF"/>
      </w:tcPr>
    </w:tblStylePr>
    <w:tblStylePr w:type="lastCol">
      <w:rPr>
        <w:color w:val="FFFFFF" w:themeColor="background1"/>
        <w:lang w:val="sv-SE" w:eastAsia="sv-SE" w:bidi="sv-SE"/>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sv-SE" w:eastAsia="sv-SE" w:bidi="sv-S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lang w:val="sv-SE" w:eastAsia="sv-SE" w:bidi="sv-SE"/>
      </w:rPr>
      <w:tblPr/>
      <w:tcPr>
        <w:shd w:val="clear" w:color="auto" w:fill="FBD4B4" w:themeFill="accent6" w:themeFillTint="66"/>
      </w:tcPr>
    </w:tblStylePr>
    <w:tblStylePr w:type="lastRow">
      <w:rPr>
        <w:b/>
        <w:bCs/>
        <w:color w:val="000000" w:themeColor="text1"/>
        <w:lang w:val="sv-SE" w:eastAsia="sv-SE" w:bidi="sv-SE"/>
      </w:rPr>
      <w:tblPr/>
      <w:tcPr>
        <w:shd w:val="clear" w:color="auto" w:fill="FBD4B4" w:themeFill="accent6" w:themeFillTint="66"/>
      </w:tcPr>
    </w:tblStylePr>
    <w:tblStylePr w:type="firstCol">
      <w:rPr>
        <w:color w:val="FFFFFF" w:themeColor="background1"/>
        <w:lang w:val="sv-SE" w:eastAsia="sv-SE" w:bidi="sv-SE"/>
      </w:rPr>
      <w:tblPr/>
      <w:tcPr>
        <w:shd w:val="clear" w:color="auto" w:fill="E36C0A" w:themeFill="accent6" w:themeFillShade="BF"/>
      </w:tcPr>
    </w:tblStylePr>
    <w:tblStylePr w:type="lastCol">
      <w:rPr>
        <w:color w:val="FFFFFF" w:themeColor="background1"/>
        <w:lang w:val="sv-SE" w:eastAsia="sv-SE" w:bidi="sv-SE"/>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 Joakim Platbarzdis</dc:title>
  <dc:subject/>
  <dc:creator>Joakim Platbarzdis</dc:creator>
  <cp:keywords/>
  <dc:description>generated by python-docx</dc:description>
  <cp:lastModifiedBy/>
  <cp:revision>1</cp:revision>
  <dcterms:created xsi:type="dcterms:W3CDTF">2013-12-23T23:15:00Z</dcterms:created>
  <dcterms:modified xsi:type="dcterms:W3CDTF">2013-12-23T23:15:00Z</dcterms:modified>
  <cp:category/>
  <dc:language>sv-SE</dc:language>
</cp:coreProperties>
</file>